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tif" ContentType="image/tiff"/>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9AE421" w14:textId="77777777" w:rsidR="00196F0D" w:rsidRDefault="0087103C" w:rsidP="00F51A38">
      <w:r>
        <w:t>Supplemental Information</w:t>
      </w:r>
    </w:p>
    <w:p w14:paraId="2B2E799E" w14:textId="77777777" w:rsidR="0087103C" w:rsidRDefault="0087103C" w:rsidP="0087103C">
      <w:pPr>
        <w:jc w:val="center"/>
      </w:pPr>
    </w:p>
    <w:p w14:paraId="691EB7CB" w14:textId="77777777" w:rsidR="0079394D" w:rsidRDefault="0079394D" w:rsidP="0087103C">
      <w:pPr>
        <w:jc w:val="center"/>
      </w:pPr>
      <w:r>
        <w:rPr>
          <w:b/>
        </w:rPr>
        <w:t xml:space="preserve">A similar </w:t>
      </w:r>
      <w:r w:rsidRPr="00CB1855">
        <w:rPr>
          <w:b/>
          <w:i/>
        </w:rPr>
        <w:t>in vitro</w:t>
      </w:r>
      <w:r>
        <w:rPr>
          <w:b/>
        </w:rPr>
        <w:t xml:space="preserve"> and in cell-lysate</w:t>
      </w:r>
      <w:r>
        <w:t xml:space="preserve"> </w:t>
      </w:r>
      <w:r>
        <w:rPr>
          <w:b/>
        </w:rPr>
        <w:t>folding intermediate for the FF domain</w:t>
      </w:r>
      <w:r>
        <w:t xml:space="preserve"> </w:t>
      </w:r>
    </w:p>
    <w:p w14:paraId="26887E33" w14:textId="77777777" w:rsidR="0079394D" w:rsidRDefault="0079394D" w:rsidP="0087103C">
      <w:pPr>
        <w:jc w:val="center"/>
      </w:pPr>
    </w:p>
    <w:p w14:paraId="34A83355" w14:textId="5A7DC8AD" w:rsidR="0087103C" w:rsidRDefault="0087103C" w:rsidP="0087103C">
      <w:pPr>
        <w:jc w:val="center"/>
      </w:pPr>
      <w:r>
        <w:t>Michael P. Latham and Lewis E. Kay</w:t>
      </w:r>
    </w:p>
    <w:p w14:paraId="33C60897" w14:textId="77777777" w:rsidR="0087103C" w:rsidRDefault="0087103C" w:rsidP="0087103C">
      <w:pPr>
        <w:jc w:val="center"/>
      </w:pPr>
    </w:p>
    <w:p w14:paraId="4F4451FC" w14:textId="77777777" w:rsidR="0087103C" w:rsidRDefault="0087103C">
      <w:r>
        <w:br w:type="page"/>
      </w:r>
    </w:p>
    <w:p w14:paraId="0B0A152E" w14:textId="77777777" w:rsidR="0087103C" w:rsidRPr="00282248" w:rsidRDefault="00282248" w:rsidP="0087103C">
      <w:pPr>
        <w:spacing w:before="100" w:beforeAutospacing="1" w:after="100" w:afterAutospacing="1" w:line="360" w:lineRule="auto"/>
        <w:jc w:val="both"/>
        <w:rPr>
          <w:rFonts w:eastAsia="Times New Roman"/>
        </w:rPr>
      </w:pPr>
      <w:r w:rsidRPr="00282248">
        <w:rPr>
          <w:rFonts w:eastAsia="Times New Roman"/>
          <w:b/>
        </w:rPr>
        <w:lastRenderedPageBreak/>
        <w:t>Materials and Methods</w:t>
      </w:r>
    </w:p>
    <w:p w14:paraId="1CDB3704" w14:textId="6FED6220" w:rsidR="0087103C" w:rsidRPr="00BD3AAE" w:rsidRDefault="00282248" w:rsidP="0087103C">
      <w:pPr>
        <w:spacing w:before="100" w:beforeAutospacing="1" w:after="100" w:afterAutospacing="1" w:line="360" w:lineRule="auto"/>
        <w:jc w:val="both"/>
        <w:rPr>
          <w:rFonts w:ascii="Cambria" w:hAnsi="Cambria"/>
        </w:rPr>
      </w:pPr>
      <w:r>
        <w:rPr>
          <w:rFonts w:ascii="Cambria" w:hAnsi="Cambria"/>
          <w:i/>
        </w:rPr>
        <w:t xml:space="preserve">Sample Preparation: </w:t>
      </w:r>
      <w:r w:rsidR="0087103C" w:rsidRPr="00BD3AAE">
        <w:rPr>
          <w:rFonts w:ascii="Cambria" w:hAnsi="Cambria"/>
        </w:rPr>
        <w:t>U-[</w:t>
      </w:r>
      <w:r w:rsidR="0087103C" w:rsidRPr="00BD3AAE">
        <w:rPr>
          <w:rFonts w:ascii="Cambria" w:hAnsi="Cambria"/>
          <w:vertAlign w:val="superscript"/>
        </w:rPr>
        <w:t>2</w:t>
      </w:r>
      <w:r w:rsidR="0087103C" w:rsidRPr="00BD3AAE">
        <w:rPr>
          <w:rFonts w:ascii="Cambria" w:hAnsi="Cambria"/>
        </w:rPr>
        <w:t>H,</w:t>
      </w:r>
      <w:r w:rsidR="0087103C" w:rsidRPr="00BD3AAE">
        <w:rPr>
          <w:rFonts w:ascii="Cambria" w:hAnsi="Cambria"/>
          <w:vertAlign w:val="superscript"/>
        </w:rPr>
        <w:t>15</w:t>
      </w:r>
      <w:r w:rsidR="000E7630">
        <w:rPr>
          <w:rFonts w:ascii="Cambria" w:hAnsi="Cambria"/>
        </w:rPr>
        <w:t xml:space="preserve">N]; </w:t>
      </w:r>
      <w:r w:rsidR="0087103C" w:rsidRPr="00BD3AAE">
        <w:rPr>
          <w:rFonts w:ascii="Cambria" w:hAnsi="Cambria"/>
        </w:rPr>
        <w:t>Ile</w:t>
      </w:r>
      <w:r w:rsidR="0087103C" w:rsidRPr="00204E0D">
        <w:rPr>
          <w:rFonts w:ascii="Symbol" w:hAnsi="Symbol"/>
        </w:rPr>
        <w:t></w:t>
      </w:r>
      <w:r w:rsidR="0087103C" w:rsidRPr="00BD3AAE">
        <w:rPr>
          <w:rFonts w:ascii="Cambria" w:hAnsi="Cambria"/>
        </w:rPr>
        <w:t>1-[</w:t>
      </w:r>
      <w:r w:rsidR="0087103C" w:rsidRPr="00BD3AAE">
        <w:rPr>
          <w:rFonts w:ascii="Cambria" w:hAnsi="Cambria"/>
          <w:vertAlign w:val="superscript"/>
        </w:rPr>
        <w:t>13</w:t>
      </w:r>
      <w:r w:rsidR="0087103C" w:rsidRPr="00BD3AAE">
        <w:rPr>
          <w:rFonts w:ascii="Cambria" w:hAnsi="Cambria"/>
        </w:rPr>
        <w:t>CH</w:t>
      </w:r>
      <w:r w:rsidR="0087103C" w:rsidRPr="00BD3AAE">
        <w:rPr>
          <w:rFonts w:ascii="Cambria" w:hAnsi="Cambria"/>
          <w:vertAlign w:val="subscript"/>
        </w:rPr>
        <w:t>3</w:t>
      </w:r>
      <w:r w:rsidR="0087103C" w:rsidRPr="00BD3AAE">
        <w:rPr>
          <w:rFonts w:ascii="Cambria" w:hAnsi="Cambria"/>
        </w:rPr>
        <w:t>], Leu</w:t>
      </w:r>
      <w:r w:rsidR="0087103C" w:rsidRPr="00204E0D">
        <w:rPr>
          <w:rFonts w:ascii="Symbol" w:hAnsi="Symbol"/>
        </w:rPr>
        <w:t></w:t>
      </w:r>
      <w:r w:rsidR="0087103C" w:rsidRPr="00BD3AAE">
        <w:rPr>
          <w:rFonts w:ascii="Cambria" w:hAnsi="Cambria"/>
        </w:rPr>
        <w:t>/Val</w:t>
      </w:r>
      <w:r w:rsidR="0087103C" w:rsidRPr="00204E0D">
        <w:rPr>
          <w:rFonts w:ascii="Symbol" w:hAnsi="Symbol"/>
        </w:rPr>
        <w:t></w:t>
      </w:r>
      <w:r w:rsidR="0087103C" w:rsidRPr="00BD3AAE">
        <w:rPr>
          <w:rFonts w:ascii="Cambria" w:hAnsi="Cambria"/>
        </w:rPr>
        <w:t>-[</w:t>
      </w:r>
      <w:r w:rsidR="0087103C" w:rsidRPr="00BD3AAE">
        <w:rPr>
          <w:rFonts w:ascii="Cambria" w:hAnsi="Cambria"/>
          <w:vertAlign w:val="superscript"/>
        </w:rPr>
        <w:t>13</w:t>
      </w:r>
      <w:r w:rsidR="0087103C" w:rsidRPr="00BD3AAE">
        <w:rPr>
          <w:rFonts w:ascii="Cambria" w:hAnsi="Cambria"/>
        </w:rPr>
        <w:t>CH</w:t>
      </w:r>
      <w:r w:rsidR="0087103C" w:rsidRPr="00BD3AAE">
        <w:rPr>
          <w:rFonts w:ascii="Cambria" w:hAnsi="Cambria"/>
          <w:vertAlign w:val="subscript"/>
        </w:rPr>
        <w:t>3</w:t>
      </w:r>
      <w:r w:rsidR="0087103C" w:rsidRPr="00BD3AAE">
        <w:rPr>
          <w:rFonts w:ascii="Cambria" w:hAnsi="Cambria"/>
        </w:rPr>
        <w:t>,</w:t>
      </w:r>
      <w:r w:rsidR="0087103C" w:rsidRPr="00BD3AAE">
        <w:rPr>
          <w:rFonts w:ascii="Cambria" w:hAnsi="Cambria"/>
          <w:vertAlign w:val="superscript"/>
        </w:rPr>
        <w:t>12</w:t>
      </w:r>
      <w:r w:rsidR="0087103C" w:rsidRPr="00BD3AAE">
        <w:rPr>
          <w:rFonts w:ascii="Cambria" w:hAnsi="Cambria"/>
        </w:rPr>
        <w:t>CD</w:t>
      </w:r>
      <w:r w:rsidR="0087103C" w:rsidRPr="00BD3AAE">
        <w:rPr>
          <w:rFonts w:ascii="Cambria" w:hAnsi="Cambria"/>
          <w:vertAlign w:val="subscript"/>
        </w:rPr>
        <w:t>3</w:t>
      </w:r>
      <w:r w:rsidR="0087103C" w:rsidRPr="00BD3AAE">
        <w:rPr>
          <w:rFonts w:ascii="Cambria" w:hAnsi="Cambria"/>
        </w:rPr>
        <w:t>], Met</w:t>
      </w:r>
      <w:r w:rsidR="0087103C" w:rsidRPr="00204E0D">
        <w:rPr>
          <w:rFonts w:ascii="Symbol" w:hAnsi="Symbol"/>
        </w:rPr>
        <w:t></w:t>
      </w:r>
      <w:r w:rsidR="0087103C" w:rsidRPr="00BD3AAE">
        <w:rPr>
          <w:rFonts w:ascii="Cambria" w:hAnsi="Cambria"/>
        </w:rPr>
        <w:t>-[</w:t>
      </w:r>
      <w:r w:rsidR="0087103C" w:rsidRPr="00BD3AAE">
        <w:rPr>
          <w:rFonts w:ascii="Cambria" w:hAnsi="Cambria"/>
          <w:vertAlign w:val="superscript"/>
        </w:rPr>
        <w:t>13</w:t>
      </w:r>
      <w:r w:rsidR="0087103C" w:rsidRPr="00BD3AAE">
        <w:rPr>
          <w:rFonts w:ascii="Cambria" w:hAnsi="Cambria"/>
        </w:rPr>
        <w:t>CH</w:t>
      </w:r>
      <w:r w:rsidR="0087103C" w:rsidRPr="00BD3AAE">
        <w:rPr>
          <w:rFonts w:ascii="Cambria" w:hAnsi="Cambria"/>
          <w:vertAlign w:val="subscript"/>
        </w:rPr>
        <w:t>3</w:t>
      </w:r>
      <w:r w:rsidR="00A2204C">
        <w:rPr>
          <w:rFonts w:ascii="Cambria" w:hAnsi="Cambria"/>
        </w:rPr>
        <w:t>]</w:t>
      </w:r>
      <w:r w:rsidR="0087103C" w:rsidRPr="00BD3AAE">
        <w:rPr>
          <w:rFonts w:ascii="Cambria" w:hAnsi="Cambria"/>
        </w:rPr>
        <w:t>– or Ile</w:t>
      </w:r>
      <w:r w:rsidR="0087103C" w:rsidRPr="00204E0D">
        <w:rPr>
          <w:rFonts w:ascii="Symbol" w:hAnsi="Symbol"/>
        </w:rPr>
        <w:t></w:t>
      </w:r>
      <w:r w:rsidR="0087103C" w:rsidRPr="00BD3AAE">
        <w:rPr>
          <w:rFonts w:ascii="Cambria" w:hAnsi="Cambria"/>
        </w:rPr>
        <w:t>1-[</w:t>
      </w:r>
      <w:r w:rsidR="0087103C" w:rsidRPr="00BD3AAE">
        <w:rPr>
          <w:rFonts w:ascii="Cambria" w:hAnsi="Cambria"/>
          <w:vertAlign w:val="superscript"/>
        </w:rPr>
        <w:t>13</w:t>
      </w:r>
      <w:r w:rsidR="0087103C" w:rsidRPr="00BD3AAE">
        <w:rPr>
          <w:rFonts w:ascii="Cambria" w:hAnsi="Cambria"/>
        </w:rPr>
        <w:t>CHD</w:t>
      </w:r>
      <w:r w:rsidR="0087103C" w:rsidRPr="00BD3AAE">
        <w:rPr>
          <w:rFonts w:ascii="Cambria" w:hAnsi="Cambria"/>
          <w:vertAlign w:val="subscript"/>
        </w:rPr>
        <w:t>2</w:t>
      </w:r>
      <w:r w:rsidR="0087103C" w:rsidRPr="00BD3AAE">
        <w:rPr>
          <w:rFonts w:ascii="Cambria" w:hAnsi="Cambria"/>
        </w:rPr>
        <w:t>], Leu</w:t>
      </w:r>
      <w:r w:rsidR="0087103C" w:rsidRPr="00204E0D">
        <w:rPr>
          <w:rFonts w:ascii="Symbol" w:hAnsi="Symbol"/>
        </w:rPr>
        <w:t></w:t>
      </w:r>
      <w:r w:rsidR="0087103C" w:rsidRPr="00BD3AAE">
        <w:rPr>
          <w:rFonts w:ascii="Cambria" w:hAnsi="Cambria"/>
        </w:rPr>
        <w:t>/Val</w:t>
      </w:r>
      <w:r w:rsidR="0087103C" w:rsidRPr="00204E0D">
        <w:rPr>
          <w:rFonts w:ascii="Symbol" w:hAnsi="Symbol"/>
        </w:rPr>
        <w:t></w:t>
      </w:r>
      <w:r w:rsidR="0087103C" w:rsidRPr="00BD3AAE">
        <w:rPr>
          <w:rFonts w:ascii="Cambria" w:hAnsi="Cambria"/>
        </w:rPr>
        <w:t>-[</w:t>
      </w:r>
      <w:r w:rsidR="0087103C" w:rsidRPr="00BD3AAE">
        <w:rPr>
          <w:rFonts w:ascii="Cambria" w:hAnsi="Cambria"/>
          <w:vertAlign w:val="superscript"/>
        </w:rPr>
        <w:t>13</w:t>
      </w:r>
      <w:r w:rsidR="0087103C" w:rsidRPr="00BD3AAE">
        <w:rPr>
          <w:rFonts w:ascii="Cambria" w:hAnsi="Cambria"/>
        </w:rPr>
        <w:t>CHD</w:t>
      </w:r>
      <w:r w:rsidR="0087103C" w:rsidRPr="00BD3AAE">
        <w:rPr>
          <w:rFonts w:ascii="Cambria" w:hAnsi="Cambria"/>
          <w:vertAlign w:val="subscript"/>
        </w:rPr>
        <w:t>2</w:t>
      </w:r>
      <w:r w:rsidR="0087103C" w:rsidRPr="00BD3AAE">
        <w:rPr>
          <w:rFonts w:ascii="Cambria" w:hAnsi="Cambria"/>
        </w:rPr>
        <w:t>,</w:t>
      </w:r>
      <w:r w:rsidR="0087103C" w:rsidRPr="00BD3AAE">
        <w:rPr>
          <w:rFonts w:ascii="Cambria" w:hAnsi="Cambria"/>
          <w:vertAlign w:val="superscript"/>
        </w:rPr>
        <w:t>13</w:t>
      </w:r>
      <w:r w:rsidR="0087103C" w:rsidRPr="00BD3AAE">
        <w:rPr>
          <w:rFonts w:ascii="Cambria" w:hAnsi="Cambria"/>
        </w:rPr>
        <w:t>CHD</w:t>
      </w:r>
      <w:r w:rsidR="0087103C" w:rsidRPr="00BD3AAE">
        <w:rPr>
          <w:rFonts w:ascii="Cambria" w:hAnsi="Cambria"/>
          <w:vertAlign w:val="subscript"/>
        </w:rPr>
        <w:t>2</w:t>
      </w:r>
      <w:r w:rsidR="0087103C" w:rsidRPr="00BD3AAE">
        <w:rPr>
          <w:rFonts w:ascii="Cambria" w:hAnsi="Cambria"/>
        </w:rPr>
        <w:t>], Met</w:t>
      </w:r>
      <w:r w:rsidR="0087103C" w:rsidRPr="00204E0D">
        <w:rPr>
          <w:rFonts w:ascii="Symbol" w:hAnsi="Symbol"/>
        </w:rPr>
        <w:t></w:t>
      </w:r>
      <w:r w:rsidR="0087103C" w:rsidRPr="00BD3AAE">
        <w:rPr>
          <w:rFonts w:ascii="Cambria" w:hAnsi="Cambria"/>
        </w:rPr>
        <w:t>-[</w:t>
      </w:r>
      <w:r w:rsidR="0087103C" w:rsidRPr="00BD3AAE">
        <w:rPr>
          <w:rFonts w:ascii="Cambria" w:hAnsi="Cambria"/>
          <w:vertAlign w:val="superscript"/>
        </w:rPr>
        <w:t>13</w:t>
      </w:r>
      <w:r w:rsidR="0087103C" w:rsidRPr="00BD3AAE">
        <w:rPr>
          <w:rFonts w:ascii="Cambria" w:hAnsi="Cambria"/>
        </w:rPr>
        <w:t>CHD</w:t>
      </w:r>
      <w:r w:rsidR="0087103C" w:rsidRPr="00BD3AAE">
        <w:rPr>
          <w:rFonts w:ascii="Cambria" w:hAnsi="Cambria"/>
          <w:vertAlign w:val="subscript"/>
        </w:rPr>
        <w:t>2</w:t>
      </w:r>
      <w:r w:rsidR="00A2204C">
        <w:rPr>
          <w:rFonts w:ascii="Cambria" w:hAnsi="Cambria"/>
        </w:rPr>
        <w:t>]</w:t>
      </w:r>
      <w:r w:rsidR="00425742">
        <w:rPr>
          <w:rFonts w:ascii="Cambria" w:hAnsi="Cambria"/>
        </w:rPr>
        <w:t>– labeled samples of the</w:t>
      </w:r>
      <w:r w:rsidR="0087103C" w:rsidRPr="00BD3AAE">
        <w:rPr>
          <w:rFonts w:ascii="Cambria" w:hAnsi="Cambria"/>
        </w:rPr>
        <w:t xml:space="preserve"> FF domain from human HYPA/FBP11 w</w:t>
      </w:r>
      <w:r w:rsidR="000E7630">
        <w:rPr>
          <w:rFonts w:ascii="Cambria" w:hAnsi="Cambria"/>
        </w:rPr>
        <w:t>ere</w:t>
      </w:r>
      <w:r w:rsidR="0087103C" w:rsidRPr="00BD3AAE">
        <w:rPr>
          <w:rFonts w:ascii="Cambria" w:hAnsi="Cambria"/>
        </w:rPr>
        <w:t xml:space="preserve"> expressed and purified as previously described</w:t>
      </w:r>
      <w:r w:rsidR="0012274B">
        <w:rPr>
          <w:rFonts w:ascii="Cambria" w:hAnsi="Cambria"/>
        </w:rPr>
        <w:t xml:space="preserve"> </w:t>
      </w:r>
      <w:r w:rsidR="0012274B">
        <w:rPr>
          <w:rFonts w:ascii="Cambria" w:hAnsi="Cambria"/>
        </w:rPr>
        <w:fldChar w:fldCharType="begin" w:fldLock="1"/>
      </w:r>
      <w:r w:rsidR="0012274B">
        <w:rPr>
          <w:rFonts w:ascii="Cambria" w:hAnsi="Cambria"/>
        </w:rPr>
        <w:instrText>ADDIN CSL_CITATION { "citationItems" : [ { "id" : "ITEM-1", "itemData" : { "DOI" : "10.1126/science.1191723", "ISSN" : "1095-9203", "PMID" : "20829478", "abstract" : "Proteins can sample conformational states that are critical for function but are seldom detected directly because of their low occupancies and short lifetimes. In this work, we used chemical shifts and bond-vector orientation constraints obtained from nuclear magnetic resonance relaxation dispersion spectroscopy, in concert with a chemical shift-based method for structure elucidation, to determine an atomic-resolution structure of an \"invisible\" folding intermediate of a small protein module: the FF domain. The structure reveals non-native elements preventing formation of the native conformation in the carboxyl-terminal part of the protein. This is consistent with the kinetics of folding in which a well-structured intermediate forms rapidly and then rearranges slowly to the native state. The approach introduces a general strategy for structure determination of low-populated and transiently formed protein states.", "author" : [ { "dropping-particle" : "", "family" : "Korzhnev", "given" : "Dmitry M", "non-dropping-particle" : "", "parse-names" : false, "suffix" : "" }, { "dropping-particle" : "", "family" : "Religa", "given" : "Tomasz L", "non-dropping-particle" : "", "parse-names" : false, "suffix" : "" }, { "dropping-particle" : "", "family" : "Banachewicz", "given" : "Wiktor", "non-dropping-particle" : "", "parse-names" : false, "suffix" : "" }, { "dropping-particle" : "", "family" : "Fersht", "given" : "Alan R", "non-dropping-particle" : "", "parse-names" : false, "suffix" : "" }, { "dropping-particle" : "", "family" : "Kay", "given" : "Lewis E", "non-dropping-particle" : "", "parse-names" : false, "suffix" : "" } ], "container-title" : "Science (New York, N.Y.)", "id" : "ITEM-1", "issue" : "5997", "issued" : { "date-parts" : [ [ "2010", "9", "10" ] ] }, "page" : "1312-6", "title" : "A transient and low-populated protein-folding intermediate at atomic resolution.", "type" : "article-journal", "volume" : "329" }, "uris" : [ "http://www.mendeley.com/documents/?uuid=34922f49-9bb2-444f-b18f-04e5ade5763c" ] }, { "id" : "ITEM-2", "itemData" : { "DOI" : "10.1016/j.jmb.2007.06.012", "ISSN" : "0022-2836", "PMID" : "17689561", "abstract" : "The FF domain from the human protein HYPA/FBP11 folds via a low-energy on-pathway intermediate (I). Elucidation of the structure of such folding intermediates and denatured states under conditions that favour folding are difficult tasks. Here, we investigated the millisecond time-scale equilibrium folding transition of the 71-residue four-helix bundle wild-type protein by (15)N, (13)C(alpha) and methyl(13)C Carr-Purcell-Meiboom-Gill (CPMG) NMR relaxation dispersion experiments and by (1)H/(2)H-exchange measurements. The relaxation data for the wild-type protein fitted a simple two-site exchange process between the folded state (F) and I. Destabilization of F in mutants A17G and Q19G allowed the detection of the unfolded state U by (15)N CPMG relaxation dispersion. The dispersion data for these mutants fitted a three-site exchange scheme, U&lt;--&gt;I&lt;--&gt;F, with I populated higher than U. The kinetics and thermodynamics of the folding reaction were obtained via temperature and urea-dependent relaxation dispersion experiments, along with structural information on I from backbone (15)N, (13)C(alpha) and side-chain methyl (13)C chemical shifts, with further information from protection factors for the backbone amide groups from (1)H/(2)H-exchange. Notably, helices H1-H3 are at least partially formed in I, while helix H4 is largely disordered. Chemical shift differences for the methyl (13)C nuclei suggest a paucity of stable, native-like hydrophobic interactions in I. These data are consistent with Phi-analysis of the rate-limiting transition state between I and F. The combination of relaxation dispersion and Phi data can elucidate whole experimental folding pathways.", "author" : [ { "dropping-particle" : "", "family" : "Korzhnev", "given" : "Dmitry M", "non-dropping-particle" : "", "parse-names" : false, "suffix" : "" }, { "dropping-particle" : "", "family" : "Religa", "given" : "Tomasz L", "non-dropping-particle" : "", "parse-names" : false, "suffix" : "" }, { "dropping-particle" : "", "family" : "Lundstr\u00f6m", "given" : "Patrik", "non-dropping-particle" : "", "parse-names" : false, "suffix" : "" }, { "dropping-particle" : "", "family" : "Fersht", "given" : "Alan R", "non-dropping-particle" : "", "parse-names" : false, "suffix" : "" }, { "dropping-particle" : "", "family" : "Kay", "given" : "Lewis E", "non-dropping-particle" : "", "parse-names" : false, "suffix" : "" } ], "container-title" : "Journal of molecular biology", "id" : "ITEM-2", "issue" : "2", "issued" : { "date-parts" : [ [ "2007", "9" ] ] }, "page" : "497-512", "title" : "The folding pathway of an FF domain: characterization of an on-pathway intermediate state under folding conditions by (15)N, (13)C(alpha) and (13)C-methyl relaxation dispersion and (1)H/(2)H-exchange NMR spectroscopy.", "type" : "article-journal", "volume" : "372" }, "uris" : [ "http://www.mendeley.com/documents/?uuid=03f4d409-4016-4843-9d23-d68413d23256" ] } ], "mendeley" : { "previouslyFormattedCitation" : "[1,2]" }, "properties" : { "noteIndex" : 0 }, "schema" : "https://github.com/citation-style-language/schema/raw/master/csl-citation.json" }</w:instrText>
      </w:r>
      <w:r w:rsidR="0012274B">
        <w:rPr>
          <w:rFonts w:ascii="Cambria" w:hAnsi="Cambria"/>
        </w:rPr>
        <w:fldChar w:fldCharType="separate"/>
      </w:r>
      <w:r w:rsidR="0012274B" w:rsidRPr="0012274B">
        <w:rPr>
          <w:rFonts w:ascii="Cambria" w:hAnsi="Cambria"/>
          <w:noProof/>
        </w:rPr>
        <w:t>[1,2]</w:t>
      </w:r>
      <w:r w:rsidR="0012274B">
        <w:rPr>
          <w:rFonts w:ascii="Cambria" w:hAnsi="Cambria"/>
        </w:rPr>
        <w:fldChar w:fldCharType="end"/>
      </w:r>
      <w:r w:rsidR="0087103C" w:rsidRPr="00BD3AAE">
        <w:rPr>
          <w:rFonts w:ascii="Cambria" w:hAnsi="Cambria"/>
        </w:rPr>
        <w:t>. After purification, FF was buffer exchanged into 25 mM potassium phosphate (uncorrected pH 6.8), 50 mM NaCl, 1 mM EDTA, 0.2 mM NaN</w:t>
      </w:r>
      <w:r w:rsidR="0087103C" w:rsidRPr="00BD3AAE">
        <w:rPr>
          <w:rFonts w:ascii="Cambria" w:hAnsi="Cambria"/>
          <w:vertAlign w:val="subscript"/>
        </w:rPr>
        <w:t>3</w:t>
      </w:r>
      <w:r w:rsidR="0087103C" w:rsidRPr="00BD3AAE">
        <w:rPr>
          <w:rFonts w:ascii="Cambria" w:hAnsi="Cambria"/>
        </w:rPr>
        <w:t>, 100% D</w:t>
      </w:r>
      <w:r w:rsidR="0087103C" w:rsidRPr="00BD3AAE">
        <w:rPr>
          <w:rFonts w:ascii="Cambria" w:hAnsi="Cambria"/>
          <w:vertAlign w:val="subscript"/>
        </w:rPr>
        <w:t>2</w:t>
      </w:r>
      <w:r w:rsidR="0087103C" w:rsidRPr="00BD3AAE">
        <w:rPr>
          <w:rFonts w:ascii="Cambria" w:hAnsi="Cambria"/>
        </w:rPr>
        <w:t>O NMR buffer and concentrated in a 3 kDa MWCO centrifugal concentrator (Amicon).  1.0 – 1.5 mM samples were used for subsequent NMR measurements.</w:t>
      </w:r>
    </w:p>
    <w:p w14:paraId="20DA5BDD" w14:textId="3F0BAE33" w:rsidR="0087103C" w:rsidRPr="00BD3AAE" w:rsidRDefault="0087103C" w:rsidP="0087103C">
      <w:pPr>
        <w:spacing w:before="100" w:beforeAutospacing="1" w:after="100" w:afterAutospacing="1" w:line="360" w:lineRule="auto"/>
        <w:jc w:val="both"/>
        <w:rPr>
          <w:rFonts w:ascii="Cambria" w:hAnsi="Cambria"/>
        </w:rPr>
      </w:pPr>
      <w:r w:rsidRPr="00BD3AAE">
        <w:rPr>
          <w:rFonts w:ascii="Cambria" w:hAnsi="Cambria"/>
        </w:rPr>
        <w:tab/>
      </w:r>
      <w:r w:rsidRPr="00BD3AAE">
        <w:rPr>
          <w:rFonts w:ascii="Cambria" w:hAnsi="Cambria"/>
          <w:i/>
        </w:rPr>
        <w:t>E. coli</w:t>
      </w:r>
      <w:r w:rsidRPr="00BD3AAE">
        <w:rPr>
          <w:rFonts w:ascii="Cambria" w:hAnsi="Cambria"/>
        </w:rPr>
        <w:t xml:space="preserve"> lysate was prepared by growing </w:t>
      </w:r>
      <w:r w:rsidR="008667B8">
        <w:rPr>
          <w:rFonts w:ascii="Cambria" w:hAnsi="Cambria"/>
        </w:rPr>
        <w:t xml:space="preserve">the </w:t>
      </w:r>
      <w:r w:rsidRPr="00BD3AAE">
        <w:rPr>
          <w:rFonts w:ascii="Cambria" w:hAnsi="Cambria"/>
        </w:rPr>
        <w:t>BL21 (DE3) pLysS cell line in LB media</w:t>
      </w:r>
      <w:r w:rsidR="008667B8">
        <w:rPr>
          <w:rFonts w:ascii="Cambria" w:hAnsi="Cambria"/>
        </w:rPr>
        <w:t>, 37</w:t>
      </w:r>
      <w:r w:rsidR="00EF6822">
        <w:rPr>
          <w:rFonts w:ascii="Cambria" w:hAnsi="Cambria"/>
        </w:rPr>
        <w:t xml:space="preserve"> °</w:t>
      </w:r>
      <w:r w:rsidR="008667B8">
        <w:rPr>
          <w:rFonts w:ascii="Cambria" w:hAnsi="Cambria"/>
        </w:rPr>
        <w:t xml:space="preserve">C, </w:t>
      </w:r>
      <w:r w:rsidRPr="00BD3AAE">
        <w:rPr>
          <w:rFonts w:ascii="Cambria" w:hAnsi="Cambria"/>
        </w:rPr>
        <w:t xml:space="preserve"> supplemented with 34 </w:t>
      </w:r>
      <w:r w:rsidRPr="008D375C">
        <w:rPr>
          <w:rFonts w:ascii="Symbol" w:hAnsi="Symbol"/>
        </w:rPr>
        <w:t></w:t>
      </w:r>
      <w:r w:rsidRPr="00BD3AAE">
        <w:rPr>
          <w:rFonts w:ascii="Cambria" w:hAnsi="Cambria"/>
        </w:rPr>
        <w:t xml:space="preserve">g/mL chloramphenicol.  </w:t>
      </w:r>
      <w:r w:rsidR="006B072A">
        <w:rPr>
          <w:rFonts w:ascii="Cambria" w:hAnsi="Cambria"/>
        </w:rPr>
        <w:t>At</w:t>
      </w:r>
      <w:r w:rsidRPr="00BD3AAE">
        <w:rPr>
          <w:rFonts w:ascii="Cambria" w:hAnsi="Cambria"/>
        </w:rPr>
        <w:t xml:space="preserve"> OD</w:t>
      </w:r>
      <w:r w:rsidRPr="00BD3AAE">
        <w:rPr>
          <w:rFonts w:ascii="Cambria" w:hAnsi="Cambria"/>
          <w:vertAlign w:val="subscript"/>
        </w:rPr>
        <w:t>600</w:t>
      </w:r>
      <w:r w:rsidR="006B072A">
        <w:rPr>
          <w:rFonts w:ascii="Cambria" w:hAnsi="Cambria"/>
        </w:rPr>
        <w:t xml:space="preserve"> ~ 0.8</w:t>
      </w:r>
      <w:r w:rsidRPr="00BD3AAE">
        <w:rPr>
          <w:rFonts w:ascii="Cambria" w:hAnsi="Cambria"/>
        </w:rPr>
        <w:t xml:space="preserve"> the cells we</w:t>
      </w:r>
      <w:r w:rsidR="006B072A">
        <w:rPr>
          <w:rFonts w:ascii="Cambria" w:hAnsi="Cambria"/>
        </w:rPr>
        <w:t>re harvested via centrifugation</w:t>
      </w:r>
      <w:r w:rsidRPr="00BD3AAE">
        <w:rPr>
          <w:rFonts w:ascii="Cambria" w:hAnsi="Cambria"/>
        </w:rPr>
        <w:t xml:space="preserve"> and the resulting pellet resuspended in 30 mL D</w:t>
      </w:r>
      <w:r w:rsidRPr="00BD3AAE">
        <w:rPr>
          <w:rFonts w:ascii="Cambria" w:hAnsi="Cambria"/>
          <w:vertAlign w:val="subscript"/>
        </w:rPr>
        <w:t>2</w:t>
      </w:r>
      <w:r w:rsidRPr="00BD3AAE">
        <w:rPr>
          <w:rFonts w:ascii="Cambria" w:hAnsi="Cambria"/>
        </w:rPr>
        <w:t>O.  After cell lysis, the insoluble material was spun down, protease inhibitors (5 mM benzamidine, 0.1 mg/mL PMSF, and 0.2 mM NaN</w:t>
      </w:r>
      <w:r w:rsidRPr="00BD3AAE">
        <w:rPr>
          <w:rFonts w:ascii="Cambria" w:hAnsi="Cambria"/>
          <w:vertAlign w:val="subscript"/>
        </w:rPr>
        <w:t>3</w:t>
      </w:r>
      <w:r w:rsidRPr="00BD3AAE">
        <w:rPr>
          <w:rFonts w:ascii="Cambria" w:hAnsi="Cambria"/>
        </w:rPr>
        <w:t xml:space="preserve">) were added, and the lysate was filtered through a 0.22 </w:t>
      </w:r>
      <w:r w:rsidRPr="008D375C">
        <w:rPr>
          <w:rFonts w:ascii="Symbol" w:hAnsi="Symbol"/>
        </w:rPr>
        <w:t></w:t>
      </w:r>
      <w:r w:rsidRPr="00BD3AAE">
        <w:rPr>
          <w:rFonts w:ascii="Cambria" w:hAnsi="Cambria"/>
        </w:rPr>
        <w:t>m syringe filter.  The resulting clarified lysate was concentrated using a 3 kDa MWCO centrifugal c</w:t>
      </w:r>
      <w:r w:rsidR="004D3143">
        <w:rPr>
          <w:rFonts w:ascii="Cambria" w:hAnsi="Cambria"/>
        </w:rPr>
        <w:t>oncentrator.  Small molecules, &lt;</w:t>
      </w:r>
      <w:r w:rsidRPr="00BD3AAE">
        <w:rPr>
          <w:rFonts w:ascii="Cambria" w:hAnsi="Cambria"/>
        </w:rPr>
        <w:t>3 kDa which flow through the concentrator, were added back to the concent</w:t>
      </w:r>
      <w:r w:rsidR="009B2646">
        <w:rPr>
          <w:rFonts w:ascii="Cambria" w:hAnsi="Cambria"/>
        </w:rPr>
        <w:t>rated lysate by drying the flow-</w:t>
      </w:r>
      <w:r w:rsidRPr="00BD3AAE">
        <w:rPr>
          <w:rFonts w:ascii="Cambria" w:hAnsi="Cambria"/>
        </w:rPr>
        <w:t>through in a speed vacuum, reconstituting in a small volume of D</w:t>
      </w:r>
      <w:r w:rsidRPr="00BD3AAE">
        <w:rPr>
          <w:rFonts w:ascii="Cambria" w:hAnsi="Cambria"/>
          <w:vertAlign w:val="subscript"/>
        </w:rPr>
        <w:t>2</w:t>
      </w:r>
      <w:r w:rsidRPr="00BD3AAE">
        <w:rPr>
          <w:rFonts w:ascii="Cambria" w:hAnsi="Cambria"/>
        </w:rPr>
        <w:t>O and adding back to the concentrated macromolecule fraction.  Total protein concentration was determined b</w:t>
      </w:r>
      <w:r w:rsidR="009B2646">
        <w:rPr>
          <w:rFonts w:ascii="Cambria" w:hAnsi="Cambria"/>
        </w:rPr>
        <w:t>y the BCA assay (Pierce).  S</w:t>
      </w:r>
      <w:r w:rsidRPr="00BD3AAE">
        <w:rPr>
          <w:rFonts w:ascii="Cambria" w:hAnsi="Cambria"/>
        </w:rPr>
        <w:t>amples of FF domain dissolved in 100 g/L lysate were prepared by diluting the appropriate volumes of concentrated FF domain and lysate stock solutions.</w:t>
      </w:r>
    </w:p>
    <w:p w14:paraId="35449F7D" w14:textId="284A0E84" w:rsidR="00BA7F8D" w:rsidRDefault="0087103C" w:rsidP="0087103C">
      <w:pPr>
        <w:spacing w:before="100" w:beforeAutospacing="1" w:after="100" w:afterAutospacing="1" w:line="360" w:lineRule="auto"/>
        <w:jc w:val="both"/>
        <w:rPr>
          <w:rFonts w:eastAsia="Times New Roman"/>
        </w:rPr>
      </w:pPr>
      <w:r w:rsidRPr="00BD3AAE">
        <w:rPr>
          <w:rFonts w:ascii="Cambria" w:hAnsi="Cambria"/>
        </w:rPr>
        <w:tab/>
      </w:r>
      <w:r>
        <w:rPr>
          <w:rFonts w:eastAsia="Times New Roman"/>
          <w:i/>
        </w:rPr>
        <w:t>S. cerevisiae</w:t>
      </w:r>
      <w:r>
        <w:rPr>
          <w:rFonts w:eastAsia="Times New Roman"/>
        </w:rPr>
        <w:t xml:space="preserve"> lysate was prepared by growing </w:t>
      </w:r>
      <w:r w:rsidR="00282248">
        <w:rPr>
          <w:rFonts w:eastAsia="Times New Roman" w:cs="Times New Roman"/>
        </w:rPr>
        <w:t>BJ2168 (MAT</w:t>
      </w:r>
      <w:r w:rsidR="00282248">
        <w:rPr>
          <w:rFonts w:eastAsia="Times New Roman" w:cs="Times New Roman"/>
          <w:b/>
          <w:bCs/>
        </w:rPr>
        <w:t>a</w:t>
      </w:r>
      <w:r w:rsidR="00282248">
        <w:rPr>
          <w:rFonts w:eastAsia="Times New Roman" w:cs="Times New Roman"/>
        </w:rPr>
        <w:t xml:space="preserve"> leu2 trp1 ura3-52 prb1-1122 pep4-3 prc1-407 gal2)</w:t>
      </w:r>
      <w:r>
        <w:rPr>
          <w:rFonts w:eastAsia="Times New Roman"/>
        </w:rPr>
        <w:t xml:space="preserve"> cells in YPD media at 30 °</w:t>
      </w:r>
      <w:r w:rsidRPr="00BD3AAE">
        <w:rPr>
          <w:rFonts w:ascii="Cambria" w:hAnsi="Cambria"/>
        </w:rPr>
        <w:t>C</w:t>
      </w:r>
      <w:r w:rsidR="00282248">
        <w:rPr>
          <w:rFonts w:ascii="Cambria" w:hAnsi="Cambria"/>
        </w:rPr>
        <w:t xml:space="preserve"> until </w:t>
      </w:r>
      <w:r w:rsidR="006B072A">
        <w:rPr>
          <w:rFonts w:ascii="Cambria" w:hAnsi="Cambria"/>
        </w:rPr>
        <w:t>an</w:t>
      </w:r>
      <w:r w:rsidR="00282248">
        <w:rPr>
          <w:rFonts w:ascii="Cambria" w:hAnsi="Cambria"/>
        </w:rPr>
        <w:t xml:space="preserve"> OD</w:t>
      </w:r>
      <w:r w:rsidR="00282248">
        <w:rPr>
          <w:rFonts w:ascii="Cambria" w:hAnsi="Cambria"/>
          <w:vertAlign w:val="subscript"/>
        </w:rPr>
        <w:t>600</w:t>
      </w:r>
      <w:r w:rsidR="00282248">
        <w:rPr>
          <w:rFonts w:ascii="Cambria" w:hAnsi="Cambria"/>
        </w:rPr>
        <w:t xml:space="preserve"> ~ 1.0</w:t>
      </w:r>
      <w:r w:rsidR="006B072A">
        <w:rPr>
          <w:rFonts w:ascii="Cambria" w:hAnsi="Cambria"/>
        </w:rPr>
        <w:t xml:space="preserve"> was reached</w:t>
      </w:r>
      <w:r>
        <w:rPr>
          <w:rFonts w:eastAsia="Times New Roman"/>
        </w:rPr>
        <w:t xml:space="preserve">.  Cells were harvested by centrifugation, resuspended in </w:t>
      </w:r>
      <w:r w:rsidR="00282248">
        <w:rPr>
          <w:rFonts w:eastAsia="Times New Roman" w:cs="Times New Roman"/>
        </w:rPr>
        <w:t xml:space="preserve">phosphate-buffered saline, pH 7.4, 8% (w/v) </w:t>
      </w:r>
      <w:r w:rsidR="00282248">
        <w:rPr>
          <w:rStyle w:val="annotation"/>
          <w:rFonts w:eastAsia="Times New Roman" w:cs="Times New Roman"/>
        </w:rPr>
        <w:t>sucrose</w:t>
      </w:r>
      <w:r w:rsidR="00282248">
        <w:rPr>
          <w:rFonts w:eastAsia="Times New Roman" w:cs="Times New Roman"/>
        </w:rPr>
        <w:t xml:space="preserve">, 2% (w/v) </w:t>
      </w:r>
      <w:r w:rsidR="00282248">
        <w:rPr>
          <w:rStyle w:val="annotation"/>
          <w:rFonts w:eastAsia="Times New Roman" w:cs="Times New Roman"/>
        </w:rPr>
        <w:t>sorbitol</w:t>
      </w:r>
      <w:r w:rsidR="00282248">
        <w:rPr>
          <w:rFonts w:eastAsia="Times New Roman" w:cs="Times New Roman"/>
        </w:rPr>
        <w:t xml:space="preserve">, 2% (w/v) </w:t>
      </w:r>
      <w:r w:rsidR="00282248">
        <w:rPr>
          <w:rStyle w:val="annotation"/>
          <w:rFonts w:eastAsia="Times New Roman" w:cs="Times New Roman"/>
        </w:rPr>
        <w:t>glucose</w:t>
      </w:r>
      <w:r w:rsidR="00282248">
        <w:rPr>
          <w:rFonts w:eastAsia="Times New Roman" w:cs="Times New Roman"/>
        </w:rPr>
        <w:t xml:space="preserve">, 5 mM </w:t>
      </w:r>
      <w:r w:rsidR="00282248">
        <w:rPr>
          <w:rStyle w:val="annotation"/>
          <w:rFonts w:ascii="Microsoft Sans Serif" w:eastAsia="Times New Roman" w:hAnsi="Microsoft Sans Serif" w:cs="Microsoft Sans Serif"/>
        </w:rPr>
        <w:t>ɛ</w:t>
      </w:r>
      <w:r w:rsidR="00282248">
        <w:rPr>
          <w:rStyle w:val="annotation"/>
          <w:rFonts w:eastAsia="Times New Roman" w:cs="Times New Roman"/>
        </w:rPr>
        <w:t>-aminocaproic acid</w:t>
      </w:r>
      <w:r w:rsidR="00282248">
        <w:rPr>
          <w:rFonts w:eastAsia="Times New Roman" w:cs="Times New Roman"/>
        </w:rPr>
        <w:t xml:space="preserve">, 5 mM </w:t>
      </w:r>
      <w:r w:rsidR="00282248">
        <w:rPr>
          <w:rStyle w:val="annotation"/>
          <w:rFonts w:eastAsia="Times New Roman" w:cs="Times New Roman"/>
          <w:i/>
          <w:iCs/>
        </w:rPr>
        <w:t>p</w:t>
      </w:r>
      <w:r w:rsidR="00282248">
        <w:rPr>
          <w:rStyle w:val="annotation"/>
          <w:rFonts w:eastAsia="Times New Roman" w:cs="Times New Roman"/>
        </w:rPr>
        <w:t>-aminobenzoic acid</w:t>
      </w:r>
      <w:r w:rsidR="00282248">
        <w:rPr>
          <w:rFonts w:eastAsia="Times New Roman" w:cs="Times New Roman"/>
        </w:rPr>
        <w:t xml:space="preserve">, 5 mM </w:t>
      </w:r>
      <w:r w:rsidR="00282248">
        <w:rPr>
          <w:rStyle w:val="annotation"/>
          <w:rFonts w:eastAsia="Times New Roman" w:cs="Times New Roman"/>
        </w:rPr>
        <w:t>EDTA</w:t>
      </w:r>
      <w:r w:rsidR="00282248">
        <w:rPr>
          <w:rFonts w:eastAsia="Times New Roman" w:cs="Times New Roman"/>
        </w:rPr>
        <w:t xml:space="preserve"> and 0.001% (w/v) </w:t>
      </w:r>
      <w:r w:rsidR="00282248">
        <w:rPr>
          <w:rStyle w:val="annotation"/>
          <w:rFonts w:eastAsia="Times New Roman" w:cs="Times New Roman"/>
        </w:rPr>
        <w:t>PMSF</w:t>
      </w:r>
      <w:r>
        <w:rPr>
          <w:rFonts w:eastAsia="Times New Roman"/>
        </w:rPr>
        <w:t>, and lysed via bead beating.  Insoluble material a</w:t>
      </w:r>
      <w:r w:rsidR="00282248">
        <w:rPr>
          <w:rFonts w:eastAsia="Times New Roman"/>
        </w:rPr>
        <w:t>nd membranes were spun down at 3,000g and 38,000</w:t>
      </w:r>
      <w:r>
        <w:rPr>
          <w:rFonts w:eastAsia="Times New Roman"/>
        </w:rPr>
        <w:t xml:space="preserve">g, respectively.  An EDTA-free complete protease inhibitor tablet (Roche) and 0.1 mg/mL PMSF </w:t>
      </w:r>
      <w:r w:rsidR="002B0636">
        <w:rPr>
          <w:rFonts w:eastAsia="Times New Roman"/>
        </w:rPr>
        <w:t>were</w:t>
      </w:r>
      <w:r>
        <w:rPr>
          <w:rFonts w:eastAsia="Times New Roman"/>
        </w:rPr>
        <w:t xml:space="preserve"> added</w:t>
      </w:r>
      <w:r w:rsidR="00282248">
        <w:rPr>
          <w:rFonts w:eastAsia="Times New Roman"/>
        </w:rPr>
        <w:t xml:space="preserve"> to</w:t>
      </w:r>
      <w:r>
        <w:rPr>
          <w:rFonts w:eastAsia="Times New Roman"/>
        </w:rPr>
        <w:t xml:space="preserve"> 3</w:t>
      </w:r>
      <w:r w:rsidR="00413955">
        <w:rPr>
          <w:rFonts w:eastAsia="Times New Roman"/>
        </w:rPr>
        <w:t>0 mL of the cytosolic fraction.</w:t>
      </w:r>
      <w:r>
        <w:rPr>
          <w:rFonts w:eastAsia="Times New Roman"/>
        </w:rPr>
        <w:t xml:space="preserve"> The lysate was then filtered through a 0.22 </w:t>
      </w:r>
      <w:r w:rsidRPr="00DD18FD">
        <w:rPr>
          <w:rFonts w:ascii="Symbol" w:hAnsi="Symbol"/>
        </w:rPr>
        <w:t></w:t>
      </w:r>
      <w:r>
        <w:rPr>
          <w:rFonts w:eastAsia="Times New Roman"/>
        </w:rPr>
        <w:t xml:space="preserve">m syringe filter and concentrated </w:t>
      </w:r>
      <w:r w:rsidR="00282248">
        <w:rPr>
          <w:rFonts w:eastAsia="Times New Roman"/>
        </w:rPr>
        <w:t>in</w:t>
      </w:r>
      <w:r>
        <w:rPr>
          <w:rFonts w:eastAsia="Times New Roman"/>
        </w:rPr>
        <w:t xml:space="preserve"> a 3 kDa</w:t>
      </w:r>
      <w:r w:rsidR="00413955">
        <w:rPr>
          <w:rFonts w:eastAsia="Times New Roman"/>
        </w:rPr>
        <w:t xml:space="preserve"> MWCO centrifugal concentrator.</w:t>
      </w:r>
      <w:r>
        <w:rPr>
          <w:rFonts w:eastAsia="Times New Roman"/>
        </w:rPr>
        <w:t xml:space="preserve"> Total protein concentration was determined by the BCA assay.  Samples of FF domain dissolved in 100 g/L lysate were prepared by diluting the appropriate volumes of concentrated FF domain and lysate stock solutions</w:t>
      </w:r>
      <w:r w:rsidR="002B0636">
        <w:rPr>
          <w:rFonts w:eastAsia="Times New Roman"/>
        </w:rPr>
        <w:t xml:space="preserve"> </w:t>
      </w:r>
      <w:r w:rsidR="00774BC4">
        <w:rPr>
          <w:rFonts w:eastAsia="Times New Roman"/>
        </w:rPr>
        <w:t>to</w:t>
      </w:r>
      <w:r w:rsidR="002B0636">
        <w:rPr>
          <w:rFonts w:eastAsia="Times New Roman"/>
        </w:rPr>
        <w:t xml:space="preserve"> a final volume of </w:t>
      </w:r>
      <w:r>
        <w:rPr>
          <w:rFonts w:eastAsia="Times New Roman"/>
        </w:rPr>
        <w:t xml:space="preserve">500 </w:t>
      </w:r>
      <w:r w:rsidRPr="00DD18FD">
        <w:rPr>
          <w:rFonts w:ascii="Symbol" w:hAnsi="Symbol"/>
        </w:rPr>
        <w:t></w:t>
      </w:r>
      <w:r>
        <w:rPr>
          <w:rFonts w:eastAsia="Times New Roman"/>
        </w:rPr>
        <w:t xml:space="preserve">L </w:t>
      </w:r>
      <w:r w:rsidR="002B0636">
        <w:rPr>
          <w:rFonts w:eastAsia="Times New Roman"/>
        </w:rPr>
        <w:t>achieved through the addition of</w:t>
      </w:r>
      <w:r>
        <w:rPr>
          <w:rFonts w:eastAsia="Times New Roman"/>
        </w:rPr>
        <w:t xml:space="preserve"> D</w:t>
      </w:r>
      <w:r>
        <w:rPr>
          <w:rFonts w:eastAsia="Times New Roman"/>
          <w:vertAlign w:val="subscript"/>
        </w:rPr>
        <w:t>2</w:t>
      </w:r>
      <w:r>
        <w:rPr>
          <w:rFonts w:eastAsia="Times New Roman"/>
        </w:rPr>
        <w:t>O.</w:t>
      </w:r>
      <w:r w:rsidR="004912E4">
        <w:rPr>
          <w:rFonts w:eastAsia="Times New Roman"/>
        </w:rPr>
        <w:t xml:space="preserve"> </w:t>
      </w:r>
      <w:r w:rsidR="00BA7F8D" w:rsidRPr="00EF6822">
        <w:rPr>
          <w:rFonts w:eastAsia="Times New Roman"/>
        </w:rPr>
        <w:t xml:space="preserve">Because the concentrated lysate stock solutions were typically &gt;250 g/L after the concentration step and were therefore highly viscous, care </w:t>
      </w:r>
      <w:r w:rsidR="004912E4" w:rsidRPr="00EF6822">
        <w:rPr>
          <w:rFonts w:eastAsia="Times New Roman"/>
        </w:rPr>
        <w:t>must be taken to ensure that the</w:t>
      </w:r>
      <w:r w:rsidR="00BA7F8D" w:rsidRPr="00EF6822">
        <w:rPr>
          <w:rFonts w:eastAsia="Times New Roman"/>
        </w:rPr>
        <w:t xml:space="preserve"> correct volume is used to get the final 100 g/L concentration </w:t>
      </w:r>
      <w:r w:rsidR="004912E4" w:rsidRPr="00EF6822">
        <w:rPr>
          <w:rFonts w:eastAsia="Times New Roman"/>
        </w:rPr>
        <w:t>for the NMR measurements.</w:t>
      </w:r>
      <w:r w:rsidR="00BA7F8D" w:rsidRPr="00EF6822">
        <w:rPr>
          <w:rFonts w:eastAsia="Times New Roman"/>
        </w:rPr>
        <w:t xml:space="preserve"> </w:t>
      </w:r>
      <w:r w:rsidR="00774BC4" w:rsidRPr="00EF6822">
        <w:rPr>
          <w:rFonts w:eastAsia="Times New Roman"/>
        </w:rPr>
        <w:t>This was achiev</w:t>
      </w:r>
      <w:r w:rsidR="00236B62" w:rsidRPr="00EF6822">
        <w:rPr>
          <w:rFonts w:eastAsia="Times New Roman"/>
        </w:rPr>
        <w:t>ed by cutting the end</w:t>
      </w:r>
      <w:r w:rsidR="00774BC4" w:rsidRPr="00EF6822">
        <w:rPr>
          <w:rFonts w:eastAsia="Times New Roman"/>
        </w:rPr>
        <w:t xml:space="preserve"> of a</w:t>
      </w:r>
      <w:r w:rsidR="004912E4" w:rsidRPr="00EF6822">
        <w:rPr>
          <w:rFonts w:eastAsia="Times New Roman"/>
        </w:rPr>
        <w:t xml:space="preserve"> pipet tip </w:t>
      </w:r>
      <w:r w:rsidR="00774BC4" w:rsidRPr="00EF6822">
        <w:rPr>
          <w:rFonts w:eastAsia="Times New Roman"/>
        </w:rPr>
        <w:t xml:space="preserve">and then calibrating it by pulling up an equivalent volume of water to that required of lysate and marking the meniscus. </w:t>
      </w:r>
      <w:r w:rsidR="00236B62" w:rsidRPr="00EF6822">
        <w:rPr>
          <w:rFonts w:eastAsia="Times New Roman"/>
        </w:rPr>
        <w:t>C</w:t>
      </w:r>
      <w:r w:rsidR="00BA7F8D" w:rsidRPr="00EF6822">
        <w:rPr>
          <w:rFonts w:eastAsia="Times New Roman"/>
        </w:rPr>
        <w:t xml:space="preserve">oncentrated lysate was then repeatedly pipetted up and down until the meniscus </w:t>
      </w:r>
      <w:r w:rsidR="00116F7A">
        <w:rPr>
          <w:rFonts w:eastAsia="Times New Roman"/>
        </w:rPr>
        <w:t>mark was reached</w:t>
      </w:r>
      <w:r w:rsidR="00BA7F8D" w:rsidRPr="00EF6822">
        <w:rPr>
          <w:rFonts w:eastAsia="Times New Roman"/>
        </w:rPr>
        <w:t xml:space="preserve">.  The lysate was then added to the required protein and buffer solution to obtain 500 </w:t>
      </w:r>
      <w:r w:rsidR="00BA7F8D" w:rsidRPr="00116F7A">
        <w:rPr>
          <w:rFonts w:ascii="Symbol" w:eastAsia="Times New Roman" w:hAnsi="Symbol"/>
        </w:rPr>
        <w:t></w:t>
      </w:r>
      <w:r w:rsidR="00BA7F8D" w:rsidRPr="00EF6822">
        <w:rPr>
          <w:rFonts w:eastAsia="Times New Roman"/>
        </w:rPr>
        <w:t xml:space="preserve">L and repeatedly pipetted up and down to remove the lysate from the pipet tip </w:t>
      </w:r>
      <w:r w:rsidR="00F40FBC">
        <w:rPr>
          <w:rFonts w:eastAsia="Times New Roman"/>
        </w:rPr>
        <w:t xml:space="preserve">as well as to </w:t>
      </w:r>
      <w:r w:rsidR="00236B62" w:rsidRPr="00EF6822">
        <w:rPr>
          <w:rFonts w:eastAsia="Times New Roman"/>
        </w:rPr>
        <w:t xml:space="preserve">thoroughly </w:t>
      </w:r>
      <w:r w:rsidR="00BA7F8D" w:rsidRPr="00EF6822">
        <w:rPr>
          <w:rFonts w:eastAsia="Times New Roman"/>
        </w:rPr>
        <w:t>mix the sample.</w:t>
      </w:r>
    </w:p>
    <w:p w14:paraId="6117E942" w14:textId="55B676D7" w:rsidR="00925E3B" w:rsidRPr="001B05F1" w:rsidRDefault="00282248" w:rsidP="00122320">
      <w:pPr>
        <w:spacing w:before="100" w:beforeAutospacing="1" w:after="100" w:afterAutospacing="1" w:line="360" w:lineRule="auto"/>
        <w:jc w:val="both"/>
        <w:rPr>
          <w:rFonts w:ascii="Cambria" w:hAnsi="Cambria"/>
        </w:rPr>
      </w:pPr>
      <w:r>
        <w:rPr>
          <w:rFonts w:ascii="Cambria" w:hAnsi="Cambria"/>
          <w:i/>
        </w:rPr>
        <w:t xml:space="preserve">NMR Spectroscopy: </w:t>
      </w:r>
      <w:r w:rsidR="0087103C" w:rsidRPr="00BD3AAE">
        <w:rPr>
          <w:rFonts w:ascii="Cambria" w:hAnsi="Cambria"/>
        </w:rPr>
        <w:t xml:space="preserve">NMR data were recorded at 30 </w:t>
      </w:r>
      <w:r w:rsidR="0087103C">
        <w:rPr>
          <w:rFonts w:eastAsia="Times New Roman"/>
        </w:rPr>
        <w:t>°</w:t>
      </w:r>
      <w:r w:rsidR="0087103C" w:rsidRPr="00BD3AAE">
        <w:rPr>
          <w:rFonts w:ascii="Cambria" w:hAnsi="Cambria"/>
        </w:rPr>
        <w:t xml:space="preserve">C on Varian Inova </w:t>
      </w:r>
      <w:r w:rsidR="00945802">
        <w:rPr>
          <w:rFonts w:ascii="Cambria" w:hAnsi="Cambria"/>
        </w:rPr>
        <w:t>14.1</w:t>
      </w:r>
      <w:r w:rsidR="00413955">
        <w:rPr>
          <w:rFonts w:ascii="Cambria" w:hAnsi="Cambria"/>
        </w:rPr>
        <w:t xml:space="preserve"> T</w:t>
      </w:r>
      <w:r w:rsidR="00925E3B">
        <w:rPr>
          <w:rFonts w:ascii="Cambria" w:hAnsi="Cambria"/>
        </w:rPr>
        <w:t xml:space="preserve"> and 18.8</w:t>
      </w:r>
      <w:r w:rsidR="0087103C" w:rsidRPr="00BD3AAE">
        <w:rPr>
          <w:rFonts w:ascii="Cambria" w:hAnsi="Cambria"/>
        </w:rPr>
        <w:t xml:space="preserve"> T spectrometers equipped with cryogenically cooled </w:t>
      </w:r>
      <w:r w:rsidR="00413955">
        <w:rPr>
          <w:rFonts w:ascii="Cambria" w:hAnsi="Cambria"/>
        </w:rPr>
        <w:t xml:space="preserve">(14.1 T) </w:t>
      </w:r>
      <w:r w:rsidR="0087103C" w:rsidRPr="00BD3AAE">
        <w:rPr>
          <w:rFonts w:ascii="Cambria" w:hAnsi="Cambria"/>
        </w:rPr>
        <w:t xml:space="preserve">or </w:t>
      </w:r>
      <w:r w:rsidR="00413955">
        <w:rPr>
          <w:rFonts w:ascii="Cambria" w:hAnsi="Cambria"/>
        </w:rPr>
        <w:t>room temperature</w:t>
      </w:r>
      <w:r w:rsidR="0087103C" w:rsidRPr="00BD3AAE">
        <w:rPr>
          <w:rFonts w:ascii="Cambria" w:hAnsi="Cambria"/>
        </w:rPr>
        <w:t xml:space="preserve"> </w:t>
      </w:r>
      <w:r w:rsidR="00413955">
        <w:rPr>
          <w:rFonts w:ascii="Cambria" w:hAnsi="Cambria"/>
        </w:rPr>
        <w:t xml:space="preserve">(18.8 T) </w:t>
      </w:r>
      <w:r w:rsidR="0087103C" w:rsidRPr="00BD3AAE">
        <w:rPr>
          <w:rFonts w:ascii="Cambria" w:hAnsi="Cambria"/>
        </w:rPr>
        <w:t>pulsed-field gradient triple resonance probes.  The sample temperature was calibrated using a thermocouple inside of a</w:t>
      </w:r>
      <w:r w:rsidR="000851C8">
        <w:rPr>
          <w:rFonts w:ascii="Cambria" w:hAnsi="Cambria"/>
        </w:rPr>
        <w:t>n</w:t>
      </w:r>
      <w:r w:rsidR="0087103C" w:rsidRPr="00BD3AAE">
        <w:rPr>
          <w:rFonts w:ascii="Cambria" w:hAnsi="Cambria"/>
        </w:rPr>
        <w:t xml:space="preserve"> NMR tube.  </w:t>
      </w:r>
      <w:r w:rsidR="0087103C" w:rsidRPr="00BD3AAE">
        <w:rPr>
          <w:rFonts w:ascii="Cambria" w:hAnsi="Cambria"/>
          <w:vertAlign w:val="superscript"/>
        </w:rPr>
        <w:t>13</w:t>
      </w:r>
      <w:r w:rsidR="0087103C" w:rsidRPr="00BD3AAE">
        <w:rPr>
          <w:rFonts w:ascii="Cambria" w:hAnsi="Cambria"/>
        </w:rPr>
        <w:t>C CPMG relaxation dispersion</w:t>
      </w:r>
      <w:r w:rsidR="00925E3B">
        <w:rPr>
          <w:rFonts w:ascii="Cambria" w:hAnsi="Cambria"/>
        </w:rPr>
        <w:t xml:space="preserve"> (RD)</w:t>
      </w:r>
      <w:r w:rsidR="0087103C" w:rsidRPr="00BD3AAE">
        <w:rPr>
          <w:rFonts w:ascii="Cambria" w:hAnsi="Cambria"/>
        </w:rPr>
        <w:t xml:space="preserve"> data w</w:t>
      </w:r>
      <w:r w:rsidR="000851C8">
        <w:rPr>
          <w:rFonts w:ascii="Cambria" w:hAnsi="Cambria"/>
        </w:rPr>
        <w:t>ere</w:t>
      </w:r>
      <w:r w:rsidR="0087103C" w:rsidRPr="00BD3AAE">
        <w:rPr>
          <w:rFonts w:ascii="Cambria" w:hAnsi="Cambria"/>
        </w:rPr>
        <w:t xml:space="preserve"> collected with the pulse sequence described by L</w:t>
      </w:r>
      <w:r w:rsidR="004072D2">
        <w:rPr>
          <w:rFonts w:ascii="Cambria" w:hAnsi="Cambria"/>
        </w:rPr>
        <w:t>ü</w:t>
      </w:r>
      <w:r w:rsidR="0087103C" w:rsidRPr="00BD3AAE">
        <w:rPr>
          <w:rFonts w:ascii="Cambria" w:hAnsi="Cambria"/>
        </w:rPr>
        <w:t xml:space="preserve">ndstrom </w:t>
      </w:r>
      <w:r w:rsidR="0087103C" w:rsidRPr="00BD3AAE">
        <w:rPr>
          <w:rFonts w:ascii="Cambria" w:hAnsi="Cambria"/>
          <w:i/>
        </w:rPr>
        <w:t>et al.</w:t>
      </w:r>
      <w:r w:rsidR="0012274B">
        <w:rPr>
          <w:rFonts w:ascii="Cambria" w:hAnsi="Cambria"/>
          <w:i/>
        </w:rPr>
        <w:t xml:space="preserve"> </w:t>
      </w:r>
      <w:r w:rsidR="00550FE6">
        <w:rPr>
          <w:rFonts w:ascii="Cambria" w:hAnsi="Cambria"/>
        </w:rPr>
        <w:fldChar w:fldCharType="begin" w:fldLock="1"/>
      </w:r>
      <w:r w:rsidR="0012274B">
        <w:rPr>
          <w:rFonts w:ascii="Cambria" w:hAnsi="Cambria"/>
        </w:rPr>
        <w:instrText>ADDIN CSL_CITATION { "citationItems" : [ { "id" : "ITEM-1", "itemData" : { "DOI" : "10.1007/s10858-007-9149-7", "ISSN" : "0925-2738", "PMID" : "17464570", "abstract" : "A pulse sequence is described for recording single-quantum (13)C-methyl relaxation dispersion profiles of (13)C-selectively labeled methyl groups in proteins that offers significant improvements in sensitivity relative to existing approaches where initial magnetization derives from (13)C polarization. Sensitivity gains in the new experiment are achieved by making use of polarization from (1)H spins and (1)H --&gt; (13)C --&gt; (1)H type magnetization transfers. Its utility has been established by applications involving three different protein systems ranging in molecular weight from 8 to 28 kDa, produced using a number of different selective labeling approaches. In all cases exchange parameters from both (13)C--&gt;(1)H and (1)H --&gt; (13)C --&gt; (1)H classes of experiment are in good agreement, with gains in sensitivity of between 1.7 and 4-fold realized using the new scheme.", "author" : [ { "dropping-particle" : "", "family" : "Lundstr\u00f6m", "given" : "Patrik", "non-dropping-particle" : "", "parse-names" : false, "suffix" : "" }, { "dropping-particle" : "", "family" : "Vallurupalli", "given" : "Pramodh", "non-dropping-particle" : "", "parse-names" : false, "suffix" : "" }, { "dropping-particle" : "", "family" : "Religa", "given" : "Tomasz L", "non-dropping-particle" : "", "parse-names" : false, "suffix" : "" }, { "dropping-particle" : "", "family" : "Dahlquist", "given" : "Frederick W", "non-dropping-particle" : "", "parse-names" : false, "suffix" : "" }, { "dropping-particle" : "", "family" : "Kay", "given" : "Lewis E", "non-dropping-particle" : "", "parse-names" : false, "suffix" : "" } ], "container-title" : "Journal of biomolecular NMR", "id" : "ITEM-1", "issue" : "1", "issued" : { "date-parts" : [ [ "2007", "5" ] ] }, "page" : "79-88", "title" : "A single-quantum methyl 13C-relaxation dispersion experiment with improved sensitivity.", "type" : "article-journal", "volume" : "38" }, "uris" : [ "http://www.mendeley.com/documents/?uuid=60b39971-be07-457b-aedd-af1b3677fc05" ] } ], "mendeley" : { "previouslyFormattedCitation" : "[3]" }, "properties" : { "noteIndex" : 0 }, "schema" : "https://github.com/citation-style-language/schema/raw/master/csl-citation.json" }</w:instrText>
      </w:r>
      <w:r w:rsidR="00550FE6">
        <w:rPr>
          <w:rFonts w:ascii="Cambria" w:hAnsi="Cambria"/>
        </w:rPr>
        <w:fldChar w:fldCharType="separate"/>
      </w:r>
      <w:r w:rsidR="0012274B" w:rsidRPr="0012274B">
        <w:rPr>
          <w:rFonts w:ascii="Cambria" w:hAnsi="Cambria"/>
          <w:noProof/>
        </w:rPr>
        <w:t>[3]</w:t>
      </w:r>
      <w:r w:rsidR="00550FE6">
        <w:rPr>
          <w:rFonts w:ascii="Cambria" w:hAnsi="Cambria"/>
        </w:rPr>
        <w:fldChar w:fldCharType="end"/>
      </w:r>
      <w:r w:rsidR="009562F9">
        <w:rPr>
          <w:rFonts w:ascii="Cambria" w:hAnsi="Cambria"/>
        </w:rPr>
        <w:t>, utilizing a 30 ms</w:t>
      </w:r>
      <w:r w:rsidR="0087103C" w:rsidRPr="00BD3AAE">
        <w:rPr>
          <w:rFonts w:ascii="Cambria" w:hAnsi="Cambria"/>
        </w:rPr>
        <w:t xml:space="preserve"> constant-time relaxation delay </w:t>
      </w:r>
      <w:r w:rsidR="0087103C" w:rsidRPr="00EF6822">
        <w:rPr>
          <w:rFonts w:ascii="Cambria" w:hAnsi="Cambria"/>
        </w:rPr>
        <w:t xml:space="preserve">and 15 CPMG frequencies between 33.3 and </w:t>
      </w:r>
      <w:r w:rsidR="00236B62" w:rsidRPr="00EF6822">
        <w:rPr>
          <w:rFonts w:ascii="Cambria" w:hAnsi="Cambria"/>
        </w:rPr>
        <w:t>1</w:t>
      </w:r>
      <w:r w:rsidR="00122320" w:rsidRPr="00EF6822">
        <w:rPr>
          <w:rFonts w:ascii="Cambria" w:hAnsi="Cambria"/>
        </w:rPr>
        <w:t>000</w:t>
      </w:r>
      <w:r w:rsidR="00CC676D">
        <w:rPr>
          <w:rFonts w:ascii="Cambria" w:hAnsi="Cambria"/>
        </w:rPr>
        <w:t xml:space="preserve"> Hz</w:t>
      </w:r>
      <w:r w:rsidR="00236B62" w:rsidRPr="00EF6822">
        <w:rPr>
          <w:rFonts w:ascii="Cambria" w:hAnsi="Cambria"/>
        </w:rPr>
        <w:t>.</w:t>
      </w:r>
      <w:r w:rsidR="00122320" w:rsidRPr="00EF6822">
        <w:rPr>
          <w:rFonts w:ascii="Cambria" w:hAnsi="Cambria"/>
        </w:rPr>
        <w:t xml:space="preserve"> </w:t>
      </w:r>
      <w:r w:rsidR="0087103C" w:rsidRPr="00BD3AAE">
        <w:rPr>
          <w:rFonts w:ascii="Cambria" w:hAnsi="Cambria"/>
          <w:vertAlign w:val="superscript"/>
        </w:rPr>
        <w:t>1</w:t>
      </w:r>
      <w:r w:rsidR="0087103C" w:rsidRPr="00BD3AAE">
        <w:rPr>
          <w:rFonts w:ascii="Cambria" w:hAnsi="Cambria"/>
        </w:rPr>
        <w:t xml:space="preserve">H CPMG </w:t>
      </w:r>
      <w:r w:rsidR="00925E3B">
        <w:rPr>
          <w:rFonts w:ascii="Cambria" w:hAnsi="Cambria"/>
        </w:rPr>
        <w:t>RD</w:t>
      </w:r>
      <w:r w:rsidR="0087103C" w:rsidRPr="00BD3AAE">
        <w:rPr>
          <w:rFonts w:ascii="Cambria" w:hAnsi="Cambria"/>
        </w:rPr>
        <w:t xml:space="preserve"> data </w:t>
      </w:r>
      <w:r w:rsidR="000851C8">
        <w:rPr>
          <w:rFonts w:ascii="Cambria" w:hAnsi="Cambria"/>
        </w:rPr>
        <w:t>were recorded</w:t>
      </w:r>
      <w:r w:rsidR="0087103C" w:rsidRPr="00BD3AAE">
        <w:rPr>
          <w:rFonts w:ascii="Cambria" w:hAnsi="Cambria"/>
        </w:rPr>
        <w:t xml:space="preserve"> using the pulse sequence described by Baldwin </w:t>
      </w:r>
      <w:r w:rsidR="0087103C" w:rsidRPr="00BD3AAE">
        <w:rPr>
          <w:rFonts w:ascii="Cambria" w:hAnsi="Cambria"/>
          <w:i/>
        </w:rPr>
        <w:t>et al.</w:t>
      </w:r>
      <w:r w:rsidR="0012274B">
        <w:rPr>
          <w:rFonts w:ascii="Cambria" w:hAnsi="Cambria"/>
          <w:i/>
        </w:rPr>
        <w:t xml:space="preserve"> </w:t>
      </w:r>
      <w:r w:rsidR="00550FE6">
        <w:rPr>
          <w:rFonts w:ascii="Cambria" w:hAnsi="Cambria"/>
        </w:rPr>
        <w:fldChar w:fldCharType="begin" w:fldLock="1"/>
      </w:r>
      <w:r w:rsidR="0012274B">
        <w:rPr>
          <w:rFonts w:ascii="Cambria" w:hAnsi="Cambria"/>
        </w:rPr>
        <w:instrText>ADDIN CSL_CITATION { "citationItems" : [ { "id" : "ITEM-1", "itemData" : { "DOI" : "10.1021/ja104578n", "ISSN" : "1520-5126", "PMID" : "20698653", "abstract" : "A pulse scheme is presented for quantifying millisecond time scale chemical exchange processes in proteins by measuring (1)H CPMG relaxation dispersion profiles of (13)CHD(2) methyl groups. The use of (13)CHD(2) isotopomers for (1)H methyl dispersion experiments eliminates problems with interconversion between differentially relaxing proton transitions that complicate the extraction of accurate exchange parameters when (13)CH(3) probes are used. Good agreement is demonstrated between extracted chemical shift differences from fits of dispersion profiles and the corresponding differences measured independently on a model exchanging system, validating the experiment. The methodology is applied to the gating residues of the T. acidiphilium proteasome that are shown to undergo extensive motion on the millisecond time scale.", "author" : [ { "dropping-particle" : "", "family" : "Baldwin", "given" : "Andrew J", "non-dropping-particle" : "", "parse-names" : false, "suffix" : "" }, { "dropping-particle" : "", "family" : "Religa", "given" : "Tomasz L", "non-dropping-particle" : "", "parse-names" : false, "suffix" : "" }, { "dropping-particle" : "", "family" : "Hansen", "given" : "D Flemming", "non-dropping-particle" : "", "parse-names" : false, "suffix" : "" }, { "dropping-particle" : "", "family" : "Bouvignies", "given" : "Guillaume", "non-dropping-particle" : "", "parse-names" : false, "suffix" : "" }, { "dropping-particle" : "", "family" : "Kay", "given" : "Lewis E", "non-dropping-particle" : "", "parse-names" : false, "suffix" : "" } ], "container-title" : "Journal of the American Chemical Society", "id" : "ITEM-1", "issue" : "32", "issued" : { "date-parts" : [ [ "2010", "8" ] ] }, "page" : "10992-5", "title" : "(13)CHD(2) methyl group probes of millisecond time scale exchange in proteins by (1)H relaxation dispersion: an application to proteasome gating residue dynamics.", "type" : "article-journal", "volume" : "132" }, "uris" : [ "http://www.mendeley.com/documents/?uuid=f84b7fcf-f69b-4f0c-be0a-c95a45b06695" ] } ], "mendeley" : { "previouslyFormattedCitation" : "[4]" }, "properties" : { "noteIndex" : 0 }, "schema" : "https://github.com/citation-style-language/schema/raw/master/csl-citation.json" }</w:instrText>
      </w:r>
      <w:r w:rsidR="00550FE6">
        <w:rPr>
          <w:rFonts w:ascii="Cambria" w:hAnsi="Cambria"/>
        </w:rPr>
        <w:fldChar w:fldCharType="separate"/>
      </w:r>
      <w:r w:rsidR="0012274B" w:rsidRPr="0012274B">
        <w:rPr>
          <w:rFonts w:ascii="Cambria" w:hAnsi="Cambria"/>
          <w:noProof/>
        </w:rPr>
        <w:t>[4]</w:t>
      </w:r>
      <w:r w:rsidR="00550FE6">
        <w:rPr>
          <w:rFonts w:ascii="Cambria" w:hAnsi="Cambria"/>
        </w:rPr>
        <w:fldChar w:fldCharType="end"/>
      </w:r>
      <w:r w:rsidR="005219BC">
        <w:rPr>
          <w:rFonts w:ascii="Cambria" w:hAnsi="Cambria"/>
        </w:rPr>
        <w:t xml:space="preserve">, </w:t>
      </w:r>
      <w:r w:rsidR="009562F9">
        <w:rPr>
          <w:rFonts w:ascii="Cambria" w:hAnsi="Cambria"/>
        </w:rPr>
        <w:t>also with a 30 ms</w:t>
      </w:r>
      <w:r w:rsidR="0087103C" w:rsidRPr="00BD3AAE">
        <w:rPr>
          <w:rFonts w:ascii="Cambria" w:hAnsi="Cambria"/>
        </w:rPr>
        <w:t xml:space="preserve"> constant-time relaxation delay </w:t>
      </w:r>
      <w:r w:rsidR="005219BC">
        <w:rPr>
          <w:rFonts w:ascii="Cambria" w:hAnsi="Cambria"/>
        </w:rPr>
        <w:t>and using</w:t>
      </w:r>
      <w:r w:rsidR="0087103C" w:rsidRPr="00BD3AAE">
        <w:rPr>
          <w:rFonts w:ascii="Cambria" w:hAnsi="Cambria"/>
        </w:rPr>
        <w:t xml:space="preserve"> 17 CPMG frequencies between 33.3 and 2000 Hz.</w:t>
      </w:r>
      <w:r w:rsidR="00925E3B">
        <w:rPr>
          <w:rFonts w:ascii="Cambria" w:hAnsi="Cambria"/>
        </w:rPr>
        <w:t xml:space="preserve"> </w:t>
      </w:r>
      <w:r w:rsidR="009562F9">
        <w:rPr>
          <w:rFonts w:ascii="Cambria" w:hAnsi="Cambria"/>
        </w:rPr>
        <w:t>Each data set typically included two</w:t>
      </w:r>
      <w:r w:rsidR="00122320">
        <w:rPr>
          <w:rFonts w:ascii="Cambria" w:hAnsi="Cambria"/>
        </w:rPr>
        <w:t xml:space="preserve"> </w:t>
      </w:r>
      <w:r w:rsidR="009562F9">
        <w:rPr>
          <w:rFonts w:ascii="Cambria" w:hAnsi="Cambria"/>
        </w:rPr>
        <w:t>repeat frequencies for error analysis.</w:t>
      </w:r>
      <w:r w:rsidR="00925E3B">
        <w:rPr>
          <w:rFonts w:ascii="Cambria" w:hAnsi="Cambria"/>
        </w:rPr>
        <w:t xml:space="preserve"> RD data were collected at </w:t>
      </w:r>
      <w:r w:rsidR="00945802">
        <w:rPr>
          <w:rFonts w:ascii="Cambria" w:hAnsi="Cambria"/>
        </w:rPr>
        <w:t>14.1</w:t>
      </w:r>
      <w:r w:rsidR="00925E3B">
        <w:rPr>
          <w:rFonts w:ascii="Cambria" w:hAnsi="Cambria"/>
        </w:rPr>
        <w:t xml:space="preserve"> T and 18.8 T for samples of FF dissolved in buffer or </w:t>
      </w:r>
      <w:r w:rsidR="00925E3B">
        <w:rPr>
          <w:rFonts w:ascii="Cambria" w:hAnsi="Cambria"/>
          <w:i/>
        </w:rPr>
        <w:t>E. coli</w:t>
      </w:r>
      <w:r w:rsidR="002E703C">
        <w:rPr>
          <w:rFonts w:ascii="Cambria" w:hAnsi="Cambria"/>
        </w:rPr>
        <w:t xml:space="preserve"> lysate. In contrast,</w:t>
      </w:r>
      <w:r w:rsidR="005219BC">
        <w:rPr>
          <w:rFonts w:ascii="Cambria" w:hAnsi="Cambria"/>
        </w:rPr>
        <w:t xml:space="preserve"> RD profiles were</w:t>
      </w:r>
      <w:r w:rsidR="00925E3B">
        <w:rPr>
          <w:rFonts w:ascii="Cambria" w:hAnsi="Cambria"/>
        </w:rPr>
        <w:t xml:space="preserve"> only recorded at </w:t>
      </w:r>
      <w:r w:rsidR="00945802">
        <w:rPr>
          <w:rFonts w:ascii="Cambria" w:hAnsi="Cambria"/>
        </w:rPr>
        <w:t>14.1</w:t>
      </w:r>
      <w:r w:rsidR="00925E3B">
        <w:rPr>
          <w:rFonts w:ascii="Cambria" w:hAnsi="Cambria"/>
        </w:rPr>
        <w:t xml:space="preserve"> T for FF dissolved in </w:t>
      </w:r>
      <w:r w:rsidR="00925E3B">
        <w:rPr>
          <w:rFonts w:ascii="Cambria" w:hAnsi="Cambria"/>
          <w:i/>
        </w:rPr>
        <w:t>S. cerevisiae</w:t>
      </w:r>
      <w:r w:rsidR="00925E3B">
        <w:rPr>
          <w:rFonts w:ascii="Cambria" w:hAnsi="Cambria"/>
        </w:rPr>
        <w:t xml:space="preserve"> lysate</w:t>
      </w:r>
      <w:r w:rsidR="002E703C">
        <w:rPr>
          <w:rFonts w:ascii="Cambria" w:hAnsi="Cambria"/>
        </w:rPr>
        <w:t xml:space="preserve"> because of the increased rate of FF domain proteolysis in this medium. </w:t>
      </w:r>
      <w:r w:rsidR="001B05F1" w:rsidRPr="001B05F1">
        <w:rPr>
          <w:rFonts w:ascii="Cambria" w:hAnsi="Cambria"/>
        </w:rPr>
        <w:t xml:space="preserve">Typical acquisition times were 18, 48 and 72 hours for complete CPMG data sets collected on FF samples dissolved in buffer, </w:t>
      </w:r>
      <w:r w:rsidR="001B05F1" w:rsidRPr="001B05F1">
        <w:rPr>
          <w:rFonts w:ascii="Cambria" w:hAnsi="Cambria"/>
          <w:i/>
        </w:rPr>
        <w:t>E</w:t>
      </w:r>
      <w:r w:rsidR="001B05F1">
        <w:rPr>
          <w:rFonts w:ascii="Cambria" w:hAnsi="Cambria"/>
          <w:i/>
        </w:rPr>
        <w:t>. coli</w:t>
      </w:r>
      <w:r w:rsidR="001B05F1">
        <w:rPr>
          <w:rFonts w:ascii="Cambria" w:hAnsi="Cambria"/>
        </w:rPr>
        <w:t xml:space="preserve"> or </w:t>
      </w:r>
      <w:r w:rsidR="001B05F1">
        <w:rPr>
          <w:rFonts w:eastAsia="Times New Roman"/>
          <w:i/>
        </w:rPr>
        <w:t>S. cerevisiae</w:t>
      </w:r>
      <w:r w:rsidR="001B05F1">
        <w:rPr>
          <w:rFonts w:eastAsia="Times New Roman"/>
        </w:rPr>
        <w:t xml:space="preserve"> lysates</w:t>
      </w:r>
    </w:p>
    <w:p w14:paraId="6FBEBE92" w14:textId="596CA090" w:rsidR="004A05DC" w:rsidRDefault="00BC0065" w:rsidP="004A05DC">
      <w:pPr>
        <w:spacing w:before="100" w:beforeAutospacing="1" w:after="100" w:afterAutospacing="1" w:line="360" w:lineRule="auto"/>
        <w:ind w:firstLine="720"/>
        <w:jc w:val="both"/>
        <w:rPr>
          <w:rFonts w:ascii="Cambria" w:hAnsi="Cambria"/>
        </w:rPr>
      </w:pPr>
      <w:r>
        <w:rPr>
          <w:rFonts w:ascii="Cambria" w:hAnsi="Cambria"/>
        </w:rPr>
        <w:t>Despite care to minimize proteolysis in FF samples dissolved in lysate (see above)</w:t>
      </w:r>
      <w:r w:rsidR="00EF6822">
        <w:rPr>
          <w:rFonts w:ascii="Cambria" w:hAnsi="Cambria"/>
        </w:rPr>
        <w:t>,</w:t>
      </w:r>
      <w:r>
        <w:rPr>
          <w:rFonts w:ascii="Cambria" w:hAnsi="Cambria"/>
        </w:rPr>
        <w:t xml:space="preserve"> we did observe degradation over time (see Fig. 2, Fig. S</w:t>
      </w:r>
      <w:r w:rsidR="004A05DC">
        <w:rPr>
          <w:rFonts w:ascii="Cambria" w:hAnsi="Cambria"/>
        </w:rPr>
        <w:t>2</w:t>
      </w:r>
      <w:r>
        <w:rPr>
          <w:rFonts w:ascii="Cambria" w:hAnsi="Cambria"/>
        </w:rPr>
        <w:t xml:space="preserve">). Collection of pseudo-3D </w:t>
      </w:r>
      <w:r w:rsidR="004E7ACB">
        <w:rPr>
          <w:rFonts w:ascii="Cambria" w:hAnsi="Cambria"/>
        </w:rPr>
        <w:t xml:space="preserve">CPMG </w:t>
      </w:r>
      <w:r>
        <w:rPr>
          <w:rFonts w:ascii="Cambria" w:hAnsi="Cambria"/>
        </w:rPr>
        <w:t>data set</w:t>
      </w:r>
      <w:r w:rsidR="004E7ACB">
        <w:rPr>
          <w:rFonts w:ascii="Cambria" w:hAnsi="Cambria"/>
        </w:rPr>
        <w:t>s</w:t>
      </w:r>
      <w:r>
        <w:rPr>
          <w:rFonts w:ascii="Cambria" w:hAnsi="Cambria"/>
        </w:rPr>
        <w:t xml:space="preserve"> one complete plane at a time (</w:t>
      </w:r>
      <w:r w:rsidRPr="00BC0065">
        <w:rPr>
          <w:rFonts w:ascii="Cambria" w:hAnsi="Cambria"/>
          <w:i/>
        </w:rPr>
        <w:t>i.e</w:t>
      </w:r>
      <w:r>
        <w:rPr>
          <w:rFonts w:ascii="Cambria" w:hAnsi="Cambria"/>
        </w:rPr>
        <w:t xml:space="preserve">., each </w:t>
      </w:r>
      <w:r w:rsidRPr="00BC0065">
        <w:rPr>
          <w:rFonts w:ascii="Symbol" w:hAnsi="Symbol"/>
          <w:i/>
        </w:rPr>
        <w:t></w:t>
      </w:r>
      <w:r w:rsidRPr="00BC0065">
        <w:rPr>
          <w:rFonts w:ascii="Cambria" w:hAnsi="Cambria"/>
          <w:i/>
          <w:vertAlign w:val="subscript"/>
        </w:rPr>
        <w:t>CPMG</w:t>
      </w:r>
      <w:r>
        <w:rPr>
          <w:rFonts w:ascii="Cambria" w:hAnsi="Cambria"/>
        </w:rPr>
        <w:t xml:space="preserve"> value sequentially) is potentially problematic as changes in the sample that occur on the timescale of acquisition of each 2D plane can lead to artifacts in </w:t>
      </w:r>
      <w:r w:rsidR="004F1939">
        <w:rPr>
          <w:rFonts w:ascii="Cambria" w:hAnsi="Cambria"/>
        </w:rPr>
        <w:t>RD</w:t>
      </w:r>
      <w:r>
        <w:rPr>
          <w:rFonts w:ascii="Cambria" w:hAnsi="Cambria"/>
        </w:rPr>
        <w:t xml:space="preserve"> profile</w:t>
      </w:r>
      <w:r w:rsidR="004F1939">
        <w:rPr>
          <w:rFonts w:ascii="Cambria" w:hAnsi="Cambria"/>
        </w:rPr>
        <w:t>s</w:t>
      </w:r>
      <w:r>
        <w:rPr>
          <w:rFonts w:ascii="Cambria" w:hAnsi="Cambria"/>
        </w:rPr>
        <w:t xml:space="preserve"> and </w:t>
      </w:r>
      <w:r w:rsidR="004E7ACB">
        <w:rPr>
          <w:rFonts w:ascii="Cambria" w:hAnsi="Cambria"/>
        </w:rPr>
        <w:t xml:space="preserve">hence </w:t>
      </w:r>
      <w:r>
        <w:rPr>
          <w:rFonts w:ascii="Cambria" w:hAnsi="Cambria"/>
        </w:rPr>
        <w:t xml:space="preserve">errors in the extracted parameters. Therefore, we have chosen to record data in an interleaved manner whereby the complete list of </w:t>
      </w:r>
      <w:r w:rsidRPr="00BC0065">
        <w:rPr>
          <w:rFonts w:ascii="Symbol" w:hAnsi="Symbol"/>
          <w:i/>
        </w:rPr>
        <w:t></w:t>
      </w:r>
      <w:r w:rsidRPr="00BC0065">
        <w:rPr>
          <w:rFonts w:ascii="Cambria" w:hAnsi="Cambria"/>
          <w:i/>
          <w:vertAlign w:val="subscript"/>
        </w:rPr>
        <w:t>CPMG</w:t>
      </w:r>
      <w:r>
        <w:rPr>
          <w:rFonts w:ascii="Cambria" w:hAnsi="Cambria"/>
        </w:rPr>
        <w:t xml:space="preserve"> values is cycled prior to incrementing to the successive complex </w:t>
      </w:r>
      <w:r w:rsidRPr="00BC0065">
        <w:rPr>
          <w:rFonts w:ascii="Cambria" w:hAnsi="Cambria"/>
          <w:i/>
        </w:rPr>
        <w:t>t</w:t>
      </w:r>
      <w:r w:rsidRPr="00BC0065">
        <w:rPr>
          <w:rFonts w:ascii="Cambria" w:hAnsi="Cambria"/>
          <w:i/>
          <w:vertAlign w:val="subscript"/>
        </w:rPr>
        <w:t>1</w:t>
      </w:r>
      <w:r>
        <w:rPr>
          <w:rFonts w:ascii="Cambria" w:hAnsi="Cambria"/>
        </w:rPr>
        <w:t xml:space="preserve"> point. </w:t>
      </w:r>
      <w:r w:rsidR="00C3683B">
        <w:rPr>
          <w:rFonts w:ascii="Cambria" w:hAnsi="Cambria"/>
        </w:rPr>
        <w:t xml:space="preserve">In this manner </w:t>
      </w:r>
      <w:r w:rsidR="007C71BC">
        <w:rPr>
          <w:rFonts w:ascii="Cambria" w:hAnsi="Cambria"/>
        </w:rPr>
        <w:t xml:space="preserve">the loss of signal because of proteolysis </w:t>
      </w:r>
      <w:r w:rsidR="00C3683B">
        <w:rPr>
          <w:rFonts w:ascii="Cambria" w:hAnsi="Cambria"/>
        </w:rPr>
        <w:t>leads to an increased effective decay</w:t>
      </w:r>
      <w:r w:rsidR="007C71BC">
        <w:rPr>
          <w:rFonts w:ascii="Cambria" w:hAnsi="Cambria"/>
        </w:rPr>
        <w:t xml:space="preserve"> </w:t>
      </w:r>
      <w:r w:rsidR="00C3683B">
        <w:rPr>
          <w:rFonts w:ascii="Cambria" w:hAnsi="Cambria"/>
        </w:rPr>
        <w:t>of the</w:t>
      </w:r>
      <w:r w:rsidR="007C71BC">
        <w:rPr>
          <w:rFonts w:ascii="Cambria" w:hAnsi="Cambria"/>
        </w:rPr>
        <w:t xml:space="preserve"> </w:t>
      </w:r>
      <w:r w:rsidR="007C71BC">
        <w:rPr>
          <w:rFonts w:ascii="Cambria" w:hAnsi="Cambria"/>
          <w:vertAlign w:val="superscript"/>
        </w:rPr>
        <w:t>13</w:t>
      </w:r>
      <w:r w:rsidR="007C71BC">
        <w:rPr>
          <w:rFonts w:ascii="Cambria" w:hAnsi="Cambria"/>
        </w:rPr>
        <w:t xml:space="preserve">C interferogram </w:t>
      </w:r>
      <w:r w:rsidR="00C3683B">
        <w:rPr>
          <w:rFonts w:ascii="Cambria" w:hAnsi="Cambria"/>
        </w:rPr>
        <w:t xml:space="preserve">without comprising accuracy of </w:t>
      </w:r>
      <w:r w:rsidR="007C71BC">
        <w:rPr>
          <w:rFonts w:ascii="Cambria" w:hAnsi="Cambria"/>
        </w:rPr>
        <w:t>exchang</w:t>
      </w:r>
      <w:r w:rsidR="00C3683B">
        <w:rPr>
          <w:rFonts w:ascii="Cambria" w:hAnsi="Cambria"/>
        </w:rPr>
        <w:t>e parameters.</w:t>
      </w:r>
      <w:r w:rsidR="007C71BC">
        <w:rPr>
          <w:rFonts w:ascii="Cambria" w:hAnsi="Cambria"/>
        </w:rPr>
        <w:t xml:space="preserve"> </w:t>
      </w:r>
      <w:r w:rsidR="00C3683B">
        <w:rPr>
          <w:rFonts w:ascii="Cambria" w:hAnsi="Cambria"/>
        </w:rPr>
        <w:t xml:space="preserve">This has been verified by recording </w:t>
      </w:r>
      <w:r w:rsidR="008D57F6">
        <w:rPr>
          <w:rFonts w:ascii="Cambria" w:hAnsi="Cambria"/>
        </w:rPr>
        <w:t>back-to-back</w:t>
      </w:r>
      <w:r w:rsidR="00C3683B">
        <w:rPr>
          <w:rFonts w:ascii="Cambria" w:hAnsi="Cambria"/>
        </w:rPr>
        <w:t xml:space="preserve"> </w:t>
      </w:r>
      <w:r w:rsidR="00651363">
        <w:rPr>
          <w:rFonts w:ascii="Cambria" w:hAnsi="Cambria"/>
        </w:rPr>
        <w:t xml:space="preserve">RD data sets and establishing that </w:t>
      </w:r>
      <w:r w:rsidR="00E1171F">
        <w:rPr>
          <w:rFonts w:ascii="Cambria" w:hAnsi="Cambria"/>
        </w:rPr>
        <w:t>very similar</w:t>
      </w:r>
      <w:r w:rsidR="00651363">
        <w:rPr>
          <w:rFonts w:ascii="Cambria" w:hAnsi="Cambria"/>
        </w:rPr>
        <w:t xml:space="preserve"> exchange parameters are obtained</w:t>
      </w:r>
      <w:r w:rsidR="00236B62">
        <w:rPr>
          <w:rFonts w:ascii="Cambria" w:hAnsi="Cambria"/>
        </w:rPr>
        <w:t>.</w:t>
      </w:r>
    </w:p>
    <w:p w14:paraId="0E8F4359" w14:textId="0865AC48" w:rsidR="00582C39" w:rsidRPr="00282248" w:rsidRDefault="00282248" w:rsidP="004A05DC">
      <w:pPr>
        <w:spacing w:before="100" w:beforeAutospacing="1" w:after="100" w:afterAutospacing="1" w:line="360" w:lineRule="auto"/>
        <w:ind w:firstLine="720"/>
        <w:jc w:val="both"/>
        <w:rPr>
          <w:rFonts w:ascii="Cambria" w:hAnsi="Cambria"/>
        </w:rPr>
      </w:pPr>
      <w:r>
        <w:rPr>
          <w:rFonts w:ascii="Cambria" w:hAnsi="Cambria"/>
        </w:rPr>
        <w:t>Diffusion coefficients of small molecule probes (10 mM each</w:t>
      </w:r>
      <w:r w:rsidR="00653DE1">
        <w:rPr>
          <w:rFonts w:ascii="Cambria" w:hAnsi="Cambria"/>
        </w:rPr>
        <w:t xml:space="preserve"> of</w:t>
      </w:r>
      <w:r>
        <w:rPr>
          <w:rFonts w:ascii="Cambria" w:hAnsi="Cambria"/>
        </w:rPr>
        <w:t xml:space="preserve"> </w:t>
      </w:r>
      <w:r w:rsidR="00B42E21" w:rsidRPr="00B42E21">
        <w:rPr>
          <w:rFonts w:ascii="Cambria" w:hAnsi="Cambria"/>
          <w:vertAlign w:val="superscript"/>
        </w:rPr>
        <w:t>13</w:t>
      </w:r>
      <w:r w:rsidR="00B42E21">
        <w:rPr>
          <w:rFonts w:ascii="Cambria" w:hAnsi="Cambria"/>
        </w:rPr>
        <w:t>C-</w:t>
      </w:r>
      <w:r w:rsidRPr="00B42E21">
        <w:rPr>
          <w:rFonts w:ascii="Cambria" w:hAnsi="Cambria"/>
        </w:rPr>
        <w:t>methanol</w:t>
      </w:r>
      <w:r>
        <w:rPr>
          <w:rFonts w:ascii="Cambria" w:hAnsi="Cambria"/>
        </w:rPr>
        <w:t xml:space="preserve">, </w:t>
      </w:r>
      <w:r w:rsidR="00B42E21">
        <w:rPr>
          <w:rFonts w:ascii="Cambria" w:hAnsi="Cambria"/>
        </w:rPr>
        <w:t>1-</w:t>
      </w:r>
      <w:r w:rsidR="00B42E21" w:rsidRPr="00B42E21">
        <w:rPr>
          <w:rFonts w:ascii="Cambria" w:hAnsi="Cambria"/>
          <w:vertAlign w:val="superscript"/>
        </w:rPr>
        <w:t>13</w:t>
      </w:r>
      <w:r w:rsidR="00B42E21">
        <w:rPr>
          <w:rFonts w:ascii="Cambria" w:hAnsi="Cambria"/>
        </w:rPr>
        <w:t xml:space="preserve">C </w:t>
      </w:r>
      <w:r w:rsidRPr="00B42E21">
        <w:rPr>
          <w:rFonts w:ascii="Cambria" w:hAnsi="Cambria"/>
        </w:rPr>
        <w:t>ethanol</w:t>
      </w:r>
      <w:r>
        <w:rPr>
          <w:rFonts w:ascii="Cambria" w:hAnsi="Cambria"/>
        </w:rPr>
        <w:t xml:space="preserve">, </w:t>
      </w:r>
      <w:r w:rsidR="00B42E21" w:rsidRPr="00B42E21">
        <w:rPr>
          <w:rFonts w:ascii="Cambria" w:hAnsi="Cambria"/>
          <w:vertAlign w:val="superscript"/>
        </w:rPr>
        <w:t>13</w:t>
      </w:r>
      <w:r w:rsidR="00B42E21">
        <w:rPr>
          <w:rFonts w:ascii="Cambria" w:hAnsi="Cambria"/>
        </w:rPr>
        <w:t>C-</w:t>
      </w:r>
      <w:r>
        <w:rPr>
          <w:rFonts w:ascii="Cambria" w:hAnsi="Cambria"/>
        </w:rPr>
        <w:t xml:space="preserve">acetate, </w:t>
      </w:r>
      <w:r w:rsidR="00B42E21">
        <w:rPr>
          <w:rFonts w:ascii="Cambria" w:hAnsi="Cambria"/>
        </w:rPr>
        <w:t>2-</w:t>
      </w:r>
      <w:r w:rsidR="00B42E21" w:rsidRPr="00B42E21">
        <w:rPr>
          <w:rFonts w:ascii="Cambria" w:hAnsi="Cambria"/>
          <w:vertAlign w:val="superscript"/>
        </w:rPr>
        <w:t>13</w:t>
      </w:r>
      <w:r w:rsidR="00B42E21">
        <w:rPr>
          <w:rFonts w:ascii="Cambria" w:hAnsi="Cambria"/>
        </w:rPr>
        <w:t xml:space="preserve">C </w:t>
      </w:r>
      <w:r>
        <w:rPr>
          <w:rFonts w:ascii="Cambria" w:hAnsi="Cambria"/>
        </w:rPr>
        <w:t xml:space="preserve">isopropanol, </w:t>
      </w:r>
      <w:r w:rsidR="00B42E21">
        <w:rPr>
          <w:rFonts w:ascii="Cambria" w:hAnsi="Cambria"/>
        </w:rPr>
        <w:t>2-</w:t>
      </w:r>
      <w:r w:rsidR="00B42E21" w:rsidRPr="00B42E21">
        <w:rPr>
          <w:rFonts w:ascii="Cambria" w:hAnsi="Cambria"/>
          <w:vertAlign w:val="superscript"/>
        </w:rPr>
        <w:t>13</w:t>
      </w:r>
      <w:r w:rsidR="00B42E21">
        <w:rPr>
          <w:rFonts w:ascii="Cambria" w:hAnsi="Cambria"/>
        </w:rPr>
        <w:t xml:space="preserve">C </w:t>
      </w:r>
      <w:r>
        <w:rPr>
          <w:rFonts w:ascii="Cambria" w:hAnsi="Cambria"/>
        </w:rPr>
        <w:t>glycerol and</w:t>
      </w:r>
      <w:r w:rsidR="00B42E21">
        <w:rPr>
          <w:rFonts w:ascii="Cambria" w:hAnsi="Cambria"/>
        </w:rPr>
        <w:t xml:space="preserve"> 1-</w:t>
      </w:r>
      <w:r w:rsidR="00B42E21" w:rsidRPr="00B42E21">
        <w:rPr>
          <w:rFonts w:ascii="Cambria" w:hAnsi="Cambria"/>
          <w:vertAlign w:val="superscript"/>
        </w:rPr>
        <w:t>13</w:t>
      </w:r>
      <w:r w:rsidR="00B42E21">
        <w:rPr>
          <w:rFonts w:ascii="Cambria" w:hAnsi="Cambria"/>
        </w:rPr>
        <w:t>C</w:t>
      </w:r>
      <w:r>
        <w:rPr>
          <w:rFonts w:ascii="Cambria" w:hAnsi="Cambria"/>
        </w:rPr>
        <w:t xml:space="preserve"> ribose) dissolved in buffer or 100 g/L lysate were measured using a modified 2D </w:t>
      </w:r>
      <w:r>
        <w:rPr>
          <w:rFonts w:ascii="Cambria" w:hAnsi="Cambria"/>
          <w:vertAlign w:val="superscript"/>
        </w:rPr>
        <w:t>13</w:t>
      </w:r>
      <w:r>
        <w:rPr>
          <w:rFonts w:ascii="Cambria" w:hAnsi="Cambria"/>
        </w:rPr>
        <w:t>C-editted</w:t>
      </w:r>
      <w:r w:rsidR="00C25521">
        <w:rPr>
          <w:rFonts w:ascii="Cambria" w:hAnsi="Cambria"/>
        </w:rPr>
        <w:t>,</w:t>
      </w:r>
      <w:r>
        <w:rPr>
          <w:rFonts w:ascii="Cambria" w:hAnsi="Cambria"/>
        </w:rPr>
        <w:t xml:space="preserve"> convection compensated sLED pulsed-field gradient NMR experiment similar to the sequence described by Zheng and Price</w:t>
      </w:r>
      <w:r w:rsidR="0012274B">
        <w:rPr>
          <w:rFonts w:ascii="Cambria" w:hAnsi="Cambria"/>
        </w:rPr>
        <w:t xml:space="preserve"> </w:t>
      </w:r>
      <w:r w:rsidR="0012274B">
        <w:rPr>
          <w:rFonts w:ascii="Cambria" w:hAnsi="Cambria"/>
        </w:rPr>
        <w:fldChar w:fldCharType="begin" w:fldLock="1"/>
      </w:r>
      <w:r w:rsidR="0012274B">
        <w:rPr>
          <w:rFonts w:ascii="Cambria" w:hAnsi="Cambria"/>
        </w:rPr>
        <w:instrText>ADDIN CSL_CITATION { "citationItems" : [ { "id" : "ITEM-1", "itemData" : { "DOI" : "10.1007/s10858-009-9367-2", "ISSN" : "1573-5001", "PMID" : "19697137", "abstract" : "Thermal convection and high intensity solvent resonances can significantly hamper diffusion estimates in pulsed gradient spin-echo nuclear magnetic resonance diffusion experiments on biomolecule samples. To overcome these two problems, a new double functional NMR diffusion sequence, double echo PGSTE-WATERGATE, is presented. The new sequence provides excellent convection compensation and solvent suppression (with a suppression factor in excess of at least 10(5) in a single scan) in biomolecular NMR diffusion experiments. Due to its stimulated echo nature, the new sequence is much less susceptible to spin-spin relaxation than Hahn spin-echo based sequences. Furthermore, the new sequence is not susceptible to spin diffusion due to the application of bipolar pulsed gradients. The new sequence is also much easier to set up compared to previously developed stimulated echo based convection compensation and solvent suppression sequence. The utility of the new sequence is demonstrated on an aqueous lysozyme sample.", "author" : [ { "dropping-particle" : "", "family" : "Zheng", "given" : "Gang", "non-dropping-particle" : "", "parse-names" : false, "suffix" : "" }, { "dropping-particle" : "", "family" : "Price", "given" : "William S", "non-dropping-particle" : "", "parse-names" : false, "suffix" : "" } ], "container-title" : "Journal of biomolecular NMR", "id" : "ITEM-1", "issue" : "3", "issued" : { "date-parts" : [ [ "2009", "11" ] ] }, "page" : "295-9", "title" : "Simultaneous convection compensation and solvent suppression in biomolecular NMR diffusion experiments.", "type" : "article-journal", "volume" : "45" }, "uris" : [ "http://www.mendeley.com/documents/?uuid=cbb19a60-74bd-4585-8b86-d1bfb733b6f3" ] } ], "mendeley" : { "previouslyFormattedCitation" : "[5]" }, "properties" : { "noteIndex" : 0 }, "schema" : "https://github.com/citation-style-language/schema/raw/master/csl-citation.json" }</w:instrText>
      </w:r>
      <w:r w:rsidR="0012274B">
        <w:rPr>
          <w:rFonts w:ascii="Cambria" w:hAnsi="Cambria"/>
        </w:rPr>
        <w:fldChar w:fldCharType="separate"/>
      </w:r>
      <w:r w:rsidR="0012274B" w:rsidRPr="0012274B">
        <w:rPr>
          <w:rFonts w:ascii="Cambria" w:hAnsi="Cambria"/>
          <w:noProof/>
        </w:rPr>
        <w:t>[5]</w:t>
      </w:r>
      <w:r w:rsidR="0012274B">
        <w:rPr>
          <w:rFonts w:ascii="Cambria" w:hAnsi="Cambria"/>
        </w:rPr>
        <w:fldChar w:fldCharType="end"/>
      </w:r>
      <w:r>
        <w:rPr>
          <w:rFonts w:ascii="Cambria" w:hAnsi="Cambria"/>
        </w:rPr>
        <w:t xml:space="preserve">. For each of the three solution conditions, two data sets at 11.7 T, 30 </w:t>
      </w:r>
      <w:r w:rsidR="001D6843">
        <w:rPr>
          <w:rFonts w:ascii="Cambria" w:hAnsi="Cambria"/>
        </w:rPr>
        <w:t>°</w:t>
      </w:r>
      <w:r>
        <w:rPr>
          <w:rFonts w:ascii="Cambria" w:hAnsi="Cambria"/>
        </w:rPr>
        <w:t>C were recorded with di</w:t>
      </w:r>
      <w:r w:rsidR="00EF6822">
        <w:rPr>
          <w:rFonts w:ascii="Cambria" w:hAnsi="Cambria"/>
        </w:rPr>
        <w:t>ffusion delays of 100 or 200 ms and</w:t>
      </w:r>
      <w:r>
        <w:rPr>
          <w:rFonts w:ascii="Cambria" w:hAnsi="Cambria"/>
        </w:rPr>
        <w:t xml:space="preserve"> 10 dephasing/rephrasing gradients </w:t>
      </w:r>
      <w:r w:rsidR="00C25521">
        <w:rPr>
          <w:rFonts w:ascii="Cambria" w:hAnsi="Cambria"/>
        </w:rPr>
        <w:t xml:space="preserve">(1 ms) </w:t>
      </w:r>
      <w:r>
        <w:rPr>
          <w:rFonts w:ascii="Cambria" w:hAnsi="Cambria"/>
        </w:rPr>
        <w:t xml:space="preserve">with strengths ranging from 4 – 50 G/cm.  To prevent heating, </w:t>
      </w:r>
      <w:r>
        <w:rPr>
          <w:rFonts w:ascii="Cambria" w:hAnsi="Cambria"/>
          <w:vertAlign w:val="superscript"/>
        </w:rPr>
        <w:t>13</w:t>
      </w:r>
      <w:r>
        <w:rPr>
          <w:rFonts w:ascii="Cambria" w:hAnsi="Cambria"/>
        </w:rPr>
        <w:t>C decoupling was not used during acquisition.</w:t>
      </w:r>
      <w:r w:rsidR="00B42E21">
        <w:rPr>
          <w:rFonts w:ascii="Cambria" w:hAnsi="Cambria"/>
        </w:rPr>
        <w:t xml:space="preserve">  The small molecules </w:t>
      </w:r>
      <w:r w:rsidR="00B42E21" w:rsidRPr="00B42E21">
        <w:rPr>
          <w:rFonts w:ascii="Cambria" w:hAnsi="Cambria"/>
        </w:rPr>
        <w:t>methanol</w:t>
      </w:r>
      <w:r w:rsidR="00B42E21">
        <w:rPr>
          <w:rFonts w:ascii="Cambria" w:hAnsi="Cambria"/>
        </w:rPr>
        <w:t xml:space="preserve">, </w:t>
      </w:r>
      <w:r w:rsidR="00B42E21" w:rsidRPr="00B42E21">
        <w:rPr>
          <w:rFonts w:ascii="Cambria" w:hAnsi="Cambria"/>
        </w:rPr>
        <w:t>ethanol</w:t>
      </w:r>
      <w:r w:rsidR="00B42E21">
        <w:rPr>
          <w:rFonts w:ascii="Cambria" w:hAnsi="Cambria"/>
        </w:rPr>
        <w:t>, isopropanol, glycerol and ribose were gifts from Cambridge Isotope Laboratories Inc. (Andover, MA, USA).  All NMR data were</w:t>
      </w:r>
      <w:r w:rsidR="00B42E21" w:rsidRPr="00BD3AAE">
        <w:rPr>
          <w:rFonts w:ascii="Cambria" w:hAnsi="Cambria"/>
        </w:rPr>
        <w:t xml:space="preserve"> processed with NMRPipe/NMRDraw software</w:t>
      </w:r>
      <w:r w:rsidR="00483140">
        <w:rPr>
          <w:rFonts w:ascii="Cambria" w:hAnsi="Cambria"/>
        </w:rPr>
        <w:t>,</w:t>
      </w:r>
      <w:r w:rsidR="00B42E21" w:rsidRPr="00BD3AAE">
        <w:rPr>
          <w:rFonts w:ascii="Cambria" w:hAnsi="Cambria"/>
        </w:rPr>
        <w:t xml:space="preserve"> with peak i</w:t>
      </w:r>
      <w:r w:rsidR="00DD66B9">
        <w:rPr>
          <w:rFonts w:ascii="Cambria" w:hAnsi="Cambria"/>
        </w:rPr>
        <w:t>ntensities quantified via the nl</w:t>
      </w:r>
      <w:r w:rsidR="00B42E21" w:rsidRPr="00BD3AAE">
        <w:rPr>
          <w:rFonts w:ascii="Cambria" w:hAnsi="Cambria"/>
        </w:rPr>
        <w:t>inLS utility</w:t>
      </w:r>
      <w:r w:rsidR="0012274B">
        <w:rPr>
          <w:rFonts w:ascii="Cambria" w:hAnsi="Cambria"/>
        </w:rPr>
        <w:t xml:space="preserve"> </w:t>
      </w:r>
      <w:r w:rsidR="0012274B">
        <w:rPr>
          <w:rFonts w:ascii="Cambria" w:hAnsi="Cambria"/>
        </w:rPr>
        <w:fldChar w:fldCharType="begin" w:fldLock="1"/>
      </w:r>
      <w:r w:rsidR="0012274B">
        <w:rPr>
          <w:rFonts w:ascii="Cambria" w:hAnsi="Cambria"/>
        </w:rPr>
        <w:instrText>ADDIN CSL_CITATION { "citationItems" : [ { "id" : "ITEM-1", "itemData" : { "ISSN" : "0925-2738", "PMID" : "8520220", "abstract" : "The NMRPipe system is a UNIX software environment of processing, graphics, and analysis tools designed to meet current routine and research-oriented multidimensional processing requirements, and to anticipate and accommodate future demands and developments. The system is based on UNIX pipes, which allow programs running simultaneously to exchange streams of data under user control. In an NMRPipe processing scheme, a stream of spectral data flows through a pipeline of processing programs, each of which performs one component of the overall scheme, such as Fourier transformation or linear prediction. Complete multidimensional processing schemes are constructed as simple UNIX shell scripts. The processing modules themselves maintain and exploit accurate records of data sizes, detection modes, and calibration information in all dimensions, so that schemes can be constructed without the need to explicitly define or anticipate data sizes or storage details of real and imaginary channels during processing. The asynchronous pipeline scheme provides other substantial advantages, including high flexibility, favorable processing speeds, choice of both all-in-memory and disk-bound processing, easy adaptation to different data formats, simpler software development and maintenance, and the ability to distribute processing tasks on multi-CPU computers and computer networks.", "author" : [ { "dropping-particle" : "", "family" : "Delaglio", "given" : "Frank", "non-dropping-particle" : "", "parse-names" : false, "suffix" : "" }, { "dropping-particle" : "", "family" : "Grzesiek", "given" : "Stephan", "non-dropping-particle" : "", "parse-names" : false, "suffix" : "" }, { "dropping-particle" : "", "family" : "Vuister", "given" : "Geerten W.", "non-dropping-particle" : "", "parse-names" : false, "suffix" : "" }, { "dropping-particle" : "", "family" : "Zhu", "given" : "G", "non-dropping-particle" : "", "parse-names" : false, "suffix" : "" }, { "dropping-particle" : "", "family" : "Pfeifer", "given" : "J", "non-dropping-particle" : "", "parse-names" : false, "suffix" : "" }, { "dropping-particle" : "", "family" : "Bax", "given" : "Ad", "non-dropping-particle" : "", "parse-names" : false, "suffix" : "" } ], "container-title" : "Journal of biomolecular NMR", "id" : "ITEM-1", "issue" : "3", "issued" : { "date-parts" : [ [ "1995", "11" ] ] }, "page" : "277-93", "title" : "NMRPipe: a multidimensional spectral processing system based on UNIX pipes.", "type" : "article-journal", "volume" : "6" }, "uris" : [ "http://www.mendeley.com/documents/?uuid=bc12921b-2aad-42fb-ab6c-ab0b3f2543bf" ] } ], "mendeley" : { "previouslyFormattedCitation" : "[6]" }, "properties" : { "noteIndex" : 0 }, "schema" : "https://github.com/citation-style-language/schema/raw/master/csl-citation.json" }</w:instrText>
      </w:r>
      <w:r w:rsidR="0012274B">
        <w:rPr>
          <w:rFonts w:ascii="Cambria" w:hAnsi="Cambria"/>
        </w:rPr>
        <w:fldChar w:fldCharType="separate"/>
      </w:r>
      <w:r w:rsidR="0012274B" w:rsidRPr="0012274B">
        <w:rPr>
          <w:rFonts w:ascii="Cambria" w:hAnsi="Cambria"/>
          <w:noProof/>
        </w:rPr>
        <w:t>[6]</w:t>
      </w:r>
      <w:r w:rsidR="0012274B">
        <w:rPr>
          <w:rFonts w:ascii="Cambria" w:hAnsi="Cambria"/>
        </w:rPr>
        <w:fldChar w:fldCharType="end"/>
      </w:r>
      <w:r w:rsidR="00B42E21" w:rsidRPr="00BD3AAE">
        <w:rPr>
          <w:rFonts w:ascii="Cambria" w:hAnsi="Cambria"/>
        </w:rPr>
        <w:t>.</w:t>
      </w:r>
      <w:r w:rsidR="0012274B" w:rsidRPr="00282248">
        <w:rPr>
          <w:rFonts w:ascii="Cambria" w:hAnsi="Cambria"/>
        </w:rPr>
        <w:t xml:space="preserve"> </w:t>
      </w:r>
    </w:p>
    <w:p w14:paraId="1EF44420" w14:textId="3DF01CE6" w:rsidR="00925E3B" w:rsidRPr="004E08FB" w:rsidRDefault="00282248" w:rsidP="0087103C">
      <w:pPr>
        <w:spacing w:before="100" w:beforeAutospacing="1" w:after="100" w:afterAutospacing="1" w:line="360" w:lineRule="auto"/>
        <w:jc w:val="both"/>
        <w:rPr>
          <w:rFonts w:ascii="Cambria" w:hAnsi="Cambria"/>
        </w:rPr>
      </w:pPr>
      <w:r>
        <w:rPr>
          <w:rFonts w:ascii="Cambria" w:hAnsi="Cambria"/>
          <w:i/>
        </w:rPr>
        <w:t xml:space="preserve">Data Analysis: </w:t>
      </w:r>
      <w:r w:rsidR="0087103C" w:rsidRPr="00BD3AAE">
        <w:rPr>
          <w:rFonts w:ascii="Cambria" w:hAnsi="Cambria"/>
        </w:rPr>
        <w:t xml:space="preserve">All CPMG </w:t>
      </w:r>
      <w:r w:rsidR="00A809E8">
        <w:rPr>
          <w:rFonts w:ascii="Cambria" w:hAnsi="Cambria"/>
        </w:rPr>
        <w:t>RD</w:t>
      </w:r>
      <w:r w:rsidR="0087103C" w:rsidRPr="00BD3AAE">
        <w:rPr>
          <w:rFonts w:ascii="Cambria" w:hAnsi="Cambria"/>
        </w:rPr>
        <w:t xml:space="preserve"> data were analyzed </w:t>
      </w:r>
      <w:r w:rsidR="00DD66B9">
        <w:rPr>
          <w:rFonts w:ascii="Cambria" w:hAnsi="Cambria"/>
        </w:rPr>
        <w:t>with</w:t>
      </w:r>
      <w:r w:rsidR="0087103C" w:rsidRPr="00BD3AAE">
        <w:rPr>
          <w:rFonts w:ascii="Cambria" w:hAnsi="Cambria"/>
        </w:rPr>
        <w:t xml:space="preserve"> the in-house-written program ChemEx (available upon request), which utilizes </w:t>
      </w:r>
      <w:r w:rsidR="00A809E8">
        <w:rPr>
          <w:rFonts w:ascii="Cambria" w:hAnsi="Cambria"/>
        </w:rPr>
        <w:t xml:space="preserve">the </w:t>
      </w:r>
      <w:r w:rsidR="00DD66B9">
        <w:rPr>
          <w:rFonts w:ascii="Cambria" w:hAnsi="Cambria"/>
        </w:rPr>
        <w:t>Bloch</w:t>
      </w:r>
      <w:r w:rsidR="0087103C" w:rsidRPr="00BD3AAE">
        <w:rPr>
          <w:rFonts w:ascii="Cambria" w:hAnsi="Cambria"/>
        </w:rPr>
        <w:t xml:space="preserve">-McConnell </w:t>
      </w:r>
      <w:r w:rsidR="00A809E8">
        <w:rPr>
          <w:rFonts w:ascii="Cambria" w:hAnsi="Cambria"/>
        </w:rPr>
        <w:t>equations</w:t>
      </w:r>
      <w:r w:rsidR="0012274B">
        <w:rPr>
          <w:rFonts w:ascii="Cambria" w:hAnsi="Cambria"/>
        </w:rPr>
        <w:t xml:space="preserve"> </w:t>
      </w:r>
      <w:r w:rsidR="00F17BD4" w:rsidRPr="00F17BD4">
        <w:rPr>
          <w:rFonts w:ascii="Cambria" w:hAnsi="Cambria"/>
        </w:rPr>
        <w:fldChar w:fldCharType="begin" w:fldLock="1"/>
      </w:r>
      <w:r w:rsidR="0012274B">
        <w:rPr>
          <w:rFonts w:ascii="Cambria" w:hAnsi="Cambria"/>
        </w:rPr>
        <w:instrText>ADDIN CSL_CITATION { "citationItems" : [ { "id" : "ITEM-1", "itemData" : { "author" : [ { "dropping-particle" : "", "family" : "McConnell", "given" : "HM", "non-dropping-particle" : "", "parse-names" : false, "suffix" : "" } ], "container-title" : "The Journal of Chemical Physics", "id" : "ITEM-1", "issue" : "3", "issued" : { "date-parts" : [ [ "1958" ] ] }, "page" : "430", "title" : "Reaction rates by nuclear magnetic resonance", "type" : "article-journal", "volume" : "28" }, "uris" : [ "http://www.mendeley.com/documents/?uuid=812b7f6b-ded5-44a8-84c1-2d949f564d87" ] } ], "mendeley" : { "previouslyFormattedCitation" : "[7]" }, "properties" : { "noteIndex" : 0 }, "schema" : "https://github.com/citation-style-language/schema/raw/master/csl-citation.json" }</w:instrText>
      </w:r>
      <w:r w:rsidR="00F17BD4" w:rsidRPr="00F17BD4">
        <w:rPr>
          <w:rFonts w:ascii="Cambria" w:hAnsi="Cambria"/>
        </w:rPr>
        <w:fldChar w:fldCharType="separate"/>
      </w:r>
      <w:r w:rsidR="0012274B" w:rsidRPr="0012274B">
        <w:rPr>
          <w:rFonts w:ascii="Cambria" w:hAnsi="Cambria"/>
          <w:noProof/>
        </w:rPr>
        <w:t>[7]</w:t>
      </w:r>
      <w:r w:rsidR="00F17BD4" w:rsidRPr="00F17BD4">
        <w:rPr>
          <w:rFonts w:ascii="Cambria" w:hAnsi="Cambria"/>
        </w:rPr>
        <w:fldChar w:fldCharType="end"/>
      </w:r>
      <w:r w:rsidR="0087103C" w:rsidRPr="004A05DC">
        <w:rPr>
          <w:rFonts w:ascii="Cambria" w:hAnsi="Cambria"/>
          <w:color w:val="FF0000"/>
        </w:rPr>
        <w:t xml:space="preserve"> </w:t>
      </w:r>
      <w:r w:rsidR="0087103C" w:rsidRPr="00BD3AAE">
        <w:rPr>
          <w:rFonts w:ascii="Cambria" w:hAnsi="Cambria"/>
        </w:rPr>
        <w:t>to simulate the</w:t>
      </w:r>
      <w:r w:rsidR="00A809E8">
        <w:rPr>
          <w:rFonts w:ascii="Cambria" w:hAnsi="Cambria"/>
        </w:rPr>
        <w:t xml:space="preserve"> evolution of the</w:t>
      </w:r>
      <w:r w:rsidR="0087103C" w:rsidRPr="00BD3AAE">
        <w:rPr>
          <w:rFonts w:ascii="Cambria" w:hAnsi="Cambria"/>
        </w:rPr>
        <w:t xml:space="preserve"> experimental magnetization through the constant-time </w:t>
      </w:r>
      <w:r w:rsidR="00A809E8">
        <w:rPr>
          <w:rFonts w:ascii="Cambria" w:hAnsi="Cambria"/>
        </w:rPr>
        <w:t xml:space="preserve">CPMG </w:t>
      </w:r>
      <w:r w:rsidR="0087103C" w:rsidRPr="00BD3AAE">
        <w:rPr>
          <w:rFonts w:ascii="Cambria" w:hAnsi="Cambria"/>
        </w:rPr>
        <w:t>relaxation delay</w:t>
      </w:r>
      <w:r w:rsidR="00A809E8">
        <w:rPr>
          <w:rFonts w:ascii="Cambria" w:hAnsi="Cambria"/>
        </w:rPr>
        <w:t>. Parameters were obtained via</w:t>
      </w:r>
      <w:r w:rsidR="0087103C" w:rsidRPr="00BD3AAE">
        <w:rPr>
          <w:rFonts w:ascii="Cambria" w:hAnsi="Cambria"/>
        </w:rPr>
        <w:t xml:space="preserve"> </w:t>
      </w:r>
      <w:r w:rsidR="00A809E8">
        <w:rPr>
          <w:rFonts w:ascii="Cambria" w:hAnsi="Cambria"/>
        </w:rPr>
        <w:t>minimization of</w:t>
      </w:r>
      <w:r w:rsidR="0087103C" w:rsidRPr="00BD3AAE">
        <w:rPr>
          <w:rFonts w:ascii="Cambria" w:hAnsi="Cambria"/>
        </w:rPr>
        <w:t xml:space="preserve"> a </w:t>
      </w:r>
      <w:r w:rsidR="0087103C">
        <w:rPr>
          <w:rFonts w:ascii="Symbol" w:hAnsi="Symbol"/>
        </w:rPr>
        <w:t></w:t>
      </w:r>
      <w:r w:rsidR="0087103C" w:rsidRPr="00BD3AAE">
        <w:rPr>
          <w:rFonts w:ascii="Cambria" w:hAnsi="Cambria"/>
          <w:vertAlign w:val="superscript"/>
        </w:rPr>
        <w:t>2</w:t>
      </w:r>
      <w:r w:rsidR="0087103C" w:rsidRPr="00BD3AAE">
        <w:rPr>
          <w:rFonts w:ascii="Cambria" w:hAnsi="Cambria"/>
        </w:rPr>
        <w:t xml:space="preserve"> </w:t>
      </w:r>
      <w:r w:rsidR="00A809E8">
        <w:rPr>
          <w:rFonts w:ascii="Cambria" w:hAnsi="Cambria"/>
        </w:rPr>
        <w:t>target f</w:t>
      </w:r>
      <w:r w:rsidR="001B05F1">
        <w:rPr>
          <w:rFonts w:ascii="Cambria" w:hAnsi="Cambria"/>
        </w:rPr>
        <w:t>unction as described previously</w:t>
      </w:r>
      <w:r w:rsidR="0012274B">
        <w:rPr>
          <w:rFonts w:ascii="Cambria" w:hAnsi="Cambria"/>
        </w:rPr>
        <w:t xml:space="preserve"> </w:t>
      </w:r>
      <w:r w:rsidR="0012274B">
        <w:rPr>
          <w:rFonts w:ascii="Cambria" w:hAnsi="Cambria"/>
        </w:rPr>
        <w:fldChar w:fldCharType="begin" w:fldLock="1"/>
      </w:r>
      <w:r w:rsidR="0012274B">
        <w:rPr>
          <w:rFonts w:ascii="Cambria" w:hAnsi="Cambria"/>
        </w:rPr>
        <w:instrText>ADDIN CSL_CITATION { "citationItems" : [ { "id" : "ITEM-1", "itemData" : { "DOI" : "10.1038/nature02655", "ISSN" : "1476-4687", "PMID" : "15282609", "abstract" : "Many biochemical processes proceed through the formation of functionally significant intermediates. Although the identification and characterization of such species can provide vital clues about the mechanisms of the reactions involved, it is challenging to obtain information of this type in cases where the intermediates are transient or present only at low population. One important example of such a situation involves the folding behaviour of small proteins that represents a model for the acquisition of functional structure in biology. Here we use relaxation dispersion nuclear magnetic resonance (NMR) spectroscopy to identify, for two mutational variants of one such protein, the SH3 domain from Fyn tyrosine kinase, a low-population folding intermediate in equilibrium with its unfolded and fully folded states. By performing the NMR experiments at different temperatures, this approach has enabled characterization of the kinetics and energetics of the folding process as well as providing structures of the intermediates. A general strategy emerges for an experimental determination of the energy landscape of a protein by applying this methodology to a series of mutants whose intermediates have differing degrees of native-like structure.", "author" : [ { "dropping-particle" : "", "family" : "Korzhnev", "given" : "Dmitry M", "non-dropping-particle" : "", "parse-names" : false, "suffix" : "" }, { "dropping-particle" : "", "family" : "Salvatella", "given" : "Xavier", "non-dropping-particle" : "", "parse-names" : false, "suffix" : "" }, { "dropping-particle" : "", "family" : "Vendruscolo", "given" : "Michele", "non-dropping-particle" : "", "parse-names" : false, "suffix" : "" }, { "dropping-particle" : "", "family" : "Nardo", "given" : "Ariel A", "non-dropping-particle" : "Di", "parse-names" : false, "suffix" : "" }, { "dropping-particle" : "", "family" : "Davidson", "given" : "Alan R", "non-dropping-particle" : "", "parse-names" : false, "suffix" : "" }, { "dropping-particle" : "", "family" : "Dobson", "given" : "Christopher M", "non-dropping-particle" : "", "parse-names" : false, "suffix" : "" }, { "dropping-particle" : "", "family" : "Kay", "given" : "Lewis E", "non-dropping-particle" : "", "parse-names" : false, "suffix" : "" } ], "container-title" : "Nature", "id" : "ITEM-1", "issue" : "6999", "issued" : { "date-parts" : [ [ "2004", "7", "29" ] ] }, "page" : "586-90", "title" : "Low-populated folding intermediates of Fyn SH3 characterized by relaxation dispersion NMR.", "type" : "article-journal", "volume" : "430" }, "uris" : [ "http://www.mendeley.com/documents/?uuid=d9110522-7562-4dea-bdb5-982555c13ef8" ] }, { "id" : "ITEM-2", "itemData" : { "DOI" : "10.1073/pnas.0708296104", "ISSN" : "1091-6490", "PMID" : "18006656", "abstract" : "The focus of structural biology is on studies of the highly populated, ground states of biological molecules; states that are only sparsely and transiently populated are more difficult to probe because they are invisible to most structural methods. Yet, such states can play critical roles in biochemical processes such as ligand binding, enzyme catalysis, and protein folding. A description of these states in terms of structure and dynamics is, therefore, of great importance. Here, we present a method, based on relaxation dispersion NMR spectroscopy of weakly aligned molecules in a magnetic field, that can provide such a description by direct measurement of backbone amide bond vector orientations in transient, low populated states that are not observable directly. Such information, obtained through the measurement of residual dipolar couplings, has until now been restricted to proteins that produce observable spectra. The methodology is applied and validated in a study of the binding of a target peptide to an SH3 domain from the yeast protein Abp1p and subsequently used in an application to protein folding of a mutational variant of the Fyn SH3 domain where (1)H-(15)N dipolar couplings of the invisible unfolded state of the domain are obtained. The approach, which can be used to obtain orientational restraints at other sites in proteins as well, promises to significantly extend the available information necessary for providing a site-specific characterization of structural properties of transient, low populated states that have to this point remained recalcitrant to detailed analysis.", "author" : [ { "dropping-particle" : "", "family" : "Vallurupalli", "given" : "Pramodh", "non-dropping-particle" : "", "parse-names" : false, "suffix" : "" }, { "dropping-particle" : "", "family" : "Hansen", "given" : "D Flemming", "non-dropping-particle" : "", "parse-names" : false, "suffix" : "" }, { "dropping-particle" : "", "family" : "Stollar", "given" : "Elliott", "non-dropping-particle" : "", "parse-names" : false, "suffix" : "" }, { "dropping-particle" : "", "family" : "Meirovitch", "given" : "Eva", "non-dropping-particle" : "", "parse-names" : false, "suffix" : "" }, { "dropping-particle" : "", "family" : "Kay", "given" : "Lewis E", "non-dropping-particle" : "", "parse-names" : false, "suffix" : "" } ], "container-title" : "Proceedings of the National Academy of Sciences of the United States of America", "id" : "ITEM-2", "issue" : "47", "issued" : { "date-parts" : [ [ "2007", "11" ] ] }, "page" : "18473-7", "title" : "Measurement of bond vector orientations in invisible excited states of proteins.", "type" : "article-journal", "volume" : "104" }, "uris" : [ "http://www.mendeley.com/documents/?uuid=38924adf-4362-4827-b772-79d9b77e70aa" ] } ], "mendeley" : { "previouslyFormattedCitation" : "[8,9]" }, "properties" : { "noteIndex" : 0 }, "schema" : "https://github.com/citation-style-language/schema/raw/master/csl-citation.json" }</w:instrText>
      </w:r>
      <w:r w:rsidR="0012274B">
        <w:rPr>
          <w:rFonts w:ascii="Cambria" w:hAnsi="Cambria"/>
        </w:rPr>
        <w:fldChar w:fldCharType="separate"/>
      </w:r>
      <w:r w:rsidR="0012274B" w:rsidRPr="0012274B">
        <w:rPr>
          <w:rFonts w:ascii="Cambria" w:hAnsi="Cambria"/>
          <w:noProof/>
        </w:rPr>
        <w:t>[8,9]</w:t>
      </w:r>
      <w:r w:rsidR="0012274B">
        <w:rPr>
          <w:rFonts w:ascii="Cambria" w:hAnsi="Cambria"/>
        </w:rPr>
        <w:fldChar w:fldCharType="end"/>
      </w:r>
      <w:r w:rsidR="0087103C" w:rsidRPr="00BD3AAE">
        <w:rPr>
          <w:rFonts w:ascii="Cambria" w:hAnsi="Cambria"/>
        </w:rPr>
        <w:t xml:space="preserve">. The data were modeled as a two-state </w:t>
      </w:r>
      <w:r w:rsidR="00DD66B9">
        <w:rPr>
          <w:rFonts w:ascii="Cambria" w:hAnsi="Cambria"/>
        </w:rPr>
        <w:t xml:space="preserve">interconversion that has been shown to be appropriate </w:t>
      </w:r>
      <w:r w:rsidR="00A438D4">
        <w:rPr>
          <w:rFonts w:ascii="Cambria" w:hAnsi="Cambria"/>
        </w:rPr>
        <w:t>in previous studies performed on FF domain</w:t>
      </w:r>
      <w:r w:rsidR="00DD66B9">
        <w:rPr>
          <w:rFonts w:ascii="Cambria" w:hAnsi="Cambria"/>
        </w:rPr>
        <w:t xml:space="preserve"> samples dissolved in buffer</w:t>
      </w:r>
      <w:r w:rsidR="0012274B">
        <w:rPr>
          <w:rFonts w:ascii="Cambria" w:hAnsi="Cambria"/>
        </w:rPr>
        <w:t xml:space="preserve"> </w:t>
      </w:r>
      <w:r w:rsidR="0012274B">
        <w:rPr>
          <w:rFonts w:ascii="Cambria" w:hAnsi="Cambria"/>
        </w:rPr>
        <w:fldChar w:fldCharType="begin" w:fldLock="1"/>
      </w:r>
      <w:r w:rsidR="0012274B">
        <w:rPr>
          <w:rFonts w:ascii="Cambria" w:hAnsi="Cambria"/>
        </w:rPr>
        <w:instrText>ADDIN CSL_CITATION { "citationItems" : [ { "id" : "ITEM-1", "itemData" : { "DOI" : "10.1126/science.1191723", "ISSN" : "1095-9203", "PMID" : "20829478", "abstract" : "Proteins can sample conformational states that are critical for function but are seldom detected directly because of their low occupancies and short lifetimes. In this work, we used chemical shifts and bond-vector orientation constraints obtained from nuclear magnetic resonance relaxation dispersion spectroscopy, in concert with a chemical shift-based method for structure elucidation, to determine an atomic-resolution structure of an \"invisible\" folding intermediate of a small protein module: the FF domain. The structure reveals non-native elements preventing formation of the native conformation in the carboxyl-terminal part of the protein. This is consistent with the kinetics of folding in which a well-structured intermediate forms rapidly and then rearranges slowly to the native state. The approach introduces a general strategy for structure determination of low-populated and transiently formed protein states.", "author" : [ { "dropping-particle" : "", "family" : "Korzhnev", "given" : "Dmitry M", "non-dropping-particle" : "", "parse-names" : false, "suffix" : "" }, { "dropping-particle" : "", "family" : "Religa", "given" : "Tomasz L", "non-dropping-particle" : "", "parse-names" : false, "suffix" : "" }, { "dropping-particle" : "", "family" : "Banachewicz", "given" : "Wiktor", "non-dropping-particle" : "", "parse-names" : false, "suffix" : "" }, { "dropping-particle" : "", "family" : "Fersht", "given" : "Alan R", "non-dropping-particle" : "", "parse-names" : false, "suffix" : "" }, { "dropping-particle" : "", "family" : "Kay", "given" : "Lewis E", "non-dropping-particle" : "", "parse-names" : false, "suffix" : "" } ], "container-title" : "Science (New York, N.Y.)", "id" : "ITEM-1", "issue" : "5997", "issued" : { "date-parts" : [ [ "2010", "9", "10" ] ] }, "page" : "1312-6", "title" : "A transient and low-populated protein-folding intermediate at atomic resolution.", "type" : "article-journal", "volume" : "329" }, "uris" : [ "http://www.mendeley.com/documents/?uuid=34922f49-9bb2-444f-b18f-04e5ade5763c" ] }, { "id" : "ITEM-2", "itemData" : { "DOI" : "10.1016/j.jmb.2007.06.012", "ISSN" : "0022-2836", "PMID" : "17689561", "abstract" : "The FF domain from the human protein HYPA/FBP11 folds via a low-energy on-pathway intermediate (I). Elucidation of the structure of such folding intermediates and denatured states under conditions that favour folding are difficult tasks. Here, we investigated the millisecond time-scale equilibrium folding transition of the 71-residue four-helix bundle wild-type protein by (15)N, (13)C(alpha) and methyl(13)C Carr-Purcell-Meiboom-Gill (CPMG) NMR relaxation dispersion experiments and by (1)H/(2)H-exchange measurements. The relaxation data for the wild-type protein fitted a simple two-site exchange process between the folded state (F) and I. Destabilization of F in mutants A17G and Q19G allowed the detection of the unfolded state U by (15)N CPMG relaxation dispersion. The dispersion data for these mutants fitted a three-site exchange scheme, U&lt;--&gt;I&lt;--&gt;F, with I populated higher than U. The kinetics and thermodynamics of the folding reaction were obtained via temperature and urea-dependent relaxation dispersion experiments, along with structural information on I from backbone (15)N, (13)C(alpha) and side-chain methyl (13)C chemical shifts, with further information from protection factors for the backbone amide groups from (1)H/(2)H-exchange. Notably, helices H1-H3 are at least partially formed in I, while helix H4 is largely disordered. Chemical shift differences for the methyl (13)C nuclei suggest a paucity of stable, native-like hydrophobic interactions in I. These data are consistent with Phi-analysis of the rate-limiting transition state between I and F. The combination of relaxation dispersion and Phi data can elucidate whole experimental folding pathways.", "author" : [ { "dropping-particle" : "", "family" : "Korzhnev", "given" : "Dmitry M", "non-dropping-particle" : "", "parse-names" : false, "suffix" : "" }, { "dropping-particle" : "", "family" : "Religa", "given" : "Tomasz L", "non-dropping-particle" : "", "parse-names" : false, "suffix" : "" }, { "dropping-particle" : "", "family" : "Lundstr\u00f6m", "given" : "Patrik", "non-dropping-particle" : "", "parse-names" : false, "suffix" : "" }, { "dropping-particle" : "", "family" : "Fersht", "given" : "Alan R", "non-dropping-particle" : "", "parse-names" : false, "suffix" : "" }, { "dropping-particle" : "", "family" : "Kay", "given" : "Lewis E", "non-dropping-particle" : "", "parse-names" : false, "suffix" : "" } ], "container-title" : "Journal of molecular biology", "id" : "ITEM-2", "issue" : "2", "issued" : { "date-parts" : [ [ "2007", "9" ] ] }, "page" : "497-512", "title" : "The folding pathway of an FF domain: characterization of an on-pathway intermediate state under folding conditions by (15)N, (13)C(alpha) and (13)C-methyl relaxation dispersion and (1)H/(2)H-exchange NMR spectroscopy.", "type" : "article-journal", "volume" : "372" }, "uris" : [ "http://www.mendeley.com/documents/?uuid=03f4d409-4016-4843-9d23-d68413d23256" ] } ], "mendeley" : { "previouslyFormattedCitation" : "[1,2]" }, "properties" : { "noteIndex" : 0 }, "schema" : "https://github.com/citation-style-language/schema/raw/master/csl-citation.json" }</w:instrText>
      </w:r>
      <w:r w:rsidR="0012274B">
        <w:rPr>
          <w:rFonts w:ascii="Cambria" w:hAnsi="Cambria"/>
        </w:rPr>
        <w:fldChar w:fldCharType="separate"/>
      </w:r>
      <w:r w:rsidR="0012274B" w:rsidRPr="0012274B">
        <w:rPr>
          <w:rFonts w:ascii="Cambria" w:hAnsi="Cambria"/>
          <w:noProof/>
        </w:rPr>
        <w:t>[1,2]</w:t>
      </w:r>
      <w:r w:rsidR="0012274B">
        <w:rPr>
          <w:rFonts w:ascii="Cambria" w:hAnsi="Cambria"/>
        </w:rPr>
        <w:fldChar w:fldCharType="end"/>
      </w:r>
      <w:r w:rsidR="00DD66B9">
        <w:rPr>
          <w:rFonts w:ascii="Cambria" w:hAnsi="Cambria"/>
        </w:rPr>
        <w:t>. Extracted parameters</w:t>
      </w:r>
      <w:r w:rsidR="001D6843">
        <w:rPr>
          <w:rFonts w:ascii="Cambria" w:hAnsi="Cambria"/>
        </w:rPr>
        <w:t xml:space="preserve"> include</w:t>
      </w:r>
      <w:r w:rsidR="0087103C" w:rsidRPr="00BD3AAE">
        <w:rPr>
          <w:rFonts w:ascii="Cambria" w:hAnsi="Cambria"/>
        </w:rPr>
        <w:t xml:space="preserve"> </w:t>
      </w:r>
      <w:r w:rsidR="00A438D4">
        <w:rPr>
          <w:rFonts w:ascii="Cambria" w:hAnsi="Cambria"/>
        </w:rPr>
        <w:t xml:space="preserve">the </w:t>
      </w:r>
      <w:r w:rsidR="001D6843">
        <w:rPr>
          <w:rFonts w:ascii="Cambria" w:hAnsi="Cambria"/>
        </w:rPr>
        <w:t xml:space="preserve">global </w:t>
      </w:r>
      <w:r w:rsidR="0087103C" w:rsidRPr="00BD3AAE">
        <w:rPr>
          <w:rFonts w:ascii="Cambria" w:hAnsi="Cambria"/>
        </w:rPr>
        <w:t xml:space="preserve">fitted parameters </w:t>
      </w:r>
      <w:r w:rsidR="0087103C" w:rsidRPr="00BD3AAE">
        <w:rPr>
          <w:rFonts w:ascii="Cambria" w:hAnsi="Cambria"/>
          <w:i/>
        </w:rPr>
        <w:t>k</w:t>
      </w:r>
      <w:r w:rsidR="0087103C" w:rsidRPr="00BD3AAE">
        <w:rPr>
          <w:rFonts w:ascii="Cambria" w:hAnsi="Cambria"/>
          <w:i/>
          <w:vertAlign w:val="subscript"/>
        </w:rPr>
        <w:t>ex</w:t>
      </w:r>
      <w:r w:rsidR="0087103C" w:rsidRPr="00BD3AAE">
        <w:rPr>
          <w:rFonts w:ascii="Cambria" w:hAnsi="Cambria"/>
        </w:rPr>
        <w:t xml:space="preserve"> (the exchange rate constant; </w:t>
      </w:r>
      <w:r w:rsidR="0087103C" w:rsidRPr="00BD3AAE">
        <w:rPr>
          <w:rFonts w:ascii="Cambria" w:hAnsi="Cambria"/>
          <w:i/>
        </w:rPr>
        <w:t>k</w:t>
      </w:r>
      <w:r w:rsidR="0087103C" w:rsidRPr="00BD3AAE">
        <w:rPr>
          <w:rFonts w:ascii="Cambria" w:hAnsi="Cambria"/>
          <w:i/>
          <w:vertAlign w:val="subscript"/>
        </w:rPr>
        <w:t>NI</w:t>
      </w:r>
      <w:r w:rsidR="0087103C" w:rsidRPr="00BD3AAE">
        <w:rPr>
          <w:rFonts w:ascii="Cambria" w:hAnsi="Cambria"/>
          <w:i/>
        </w:rPr>
        <w:t xml:space="preserve"> + k</w:t>
      </w:r>
      <w:r w:rsidR="0087103C" w:rsidRPr="00BD3AAE">
        <w:rPr>
          <w:rFonts w:ascii="Cambria" w:hAnsi="Cambria"/>
          <w:i/>
          <w:vertAlign w:val="subscript"/>
        </w:rPr>
        <w:t>IN</w:t>
      </w:r>
      <w:r w:rsidR="0087103C" w:rsidRPr="00BD3AAE">
        <w:rPr>
          <w:rFonts w:ascii="Cambria" w:hAnsi="Cambria"/>
          <w:i/>
          <w:vertAlign w:val="subscript"/>
        </w:rPr>
        <w:softHyphen/>
      </w:r>
      <w:r w:rsidR="0087103C" w:rsidRPr="00BD3AAE">
        <w:rPr>
          <w:rFonts w:ascii="Cambria" w:hAnsi="Cambria"/>
          <w:i/>
          <w:vertAlign w:val="subscript"/>
        </w:rPr>
        <w:softHyphen/>
      </w:r>
      <w:r w:rsidR="001D6843">
        <w:rPr>
          <w:rFonts w:ascii="Cambria" w:hAnsi="Cambria"/>
        </w:rPr>
        <w:t xml:space="preserve">) and </w:t>
      </w:r>
      <w:r w:rsidR="0087103C" w:rsidRPr="00BD3AAE">
        <w:rPr>
          <w:rFonts w:ascii="Cambria" w:hAnsi="Cambria"/>
          <w:i/>
        </w:rPr>
        <w:t>p</w:t>
      </w:r>
      <w:r w:rsidR="0087103C" w:rsidRPr="00BD3AAE">
        <w:rPr>
          <w:rFonts w:ascii="Cambria" w:hAnsi="Cambria"/>
          <w:i/>
          <w:vertAlign w:val="subscript"/>
        </w:rPr>
        <w:t>I</w:t>
      </w:r>
      <w:r w:rsidR="0087103C" w:rsidRPr="00BD3AAE">
        <w:rPr>
          <w:rFonts w:ascii="Cambria" w:hAnsi="Cambria"/>
        </w:rPr>
        <w:t xml:space="preserve"> (fractional population of the </w:t>
      </w:r>
      <w:r w:rsidR="0087103C" w:rsidRPr="00A438D4">
        <w:rPr>
          <w:rFonts w:ascii="Cambria" w:hAnsi="Cambria"/>
          <w:i/>
        </w:rPr>
        <w:t>I</w:t>
      </w:r>
      <w:r w:rsidR="0087103C" w:rsidRPr="00BD3AAE">
        <w:rPr>
          <w:rFonts w:ascii="Cambria" w:hAnsi="Cambria"/>
        </w:rPr>
        <w:t xml:space="preserve"> state</w:t>
      </w:r>
      <w:r w:rsidR="001D6843">
        <w:rPr>
          <w:rFonts w:ascii="Cambria" w:hAnsi="Cambria"/>
        </w:rPr>
        <w:t>) and residue specific fitting parameters</w:t>
      </w:r>
      <w:r w:rsidR="00A438D4">
        <w:rPr>
          <w:rFonts w:ascii="Cambria" w:hAnsi="Cambria"/>
        </w:rPr>
        <w:t>:</w:t>
      </w:r>
      <w:r w:rsidR="001D6843">
        <w:rPr>
          <w:rFonts w:ascii="Cambria" w:hAnsi="Cambria"/>
        </w:rPr>
        <w:t xml:space="preserve"> </w:t>
      </w:r>
      <w:r w:rsidR="00A438D4">
        <w:rPr>
          <w:rFonts w:ascii="Cambria" w:hAnsi="Cambria"/>
        </w:rPr>
        <w:t xml:space="preserve">(i) </w:t>
      </w:r>
      <w:r w:rsidR="0087103C" w:rsidRPr="00BD3AAE">
        <w:rPr>
          <w:rFonts w:ascii="Cambria" w:hAnsi="Cambria"/>
        </w:rPr>
        <w:t>|</w:t>
      </w:r>
      <w:r w:rsidR="0087103C" w:rsidRPr="0041768B">
        <w:rPr>
          <w:rFonts w:ascii="Symbol" w:hAnsi="Symbol"/>
          <w:i/>
        </w:rPr>
        <w:t></w:t>
      </w:r>
      <w:r w:rsidR="0087103C" w:rsidRPr="0041768B">
        <w:rPr>
          <w:rFonts w:ascii="Symbol" w:hAnsi="Symbol"/>
          <w:i/>
        </w:rPr>
        <w:t></w:t>
      </w:r>
      <w:r w:rsidR="0087103C" w:rsidRPr="00BD3AAE">
        <w:rPr>
          <w:rFonts w:ascii="Cambria" w:hAnsi="Cambria"/>
        </w:rPr>
        <w:t>| (the chemical shift difference between</w:t>
      </w:r>
      <w:r w:rsidR="00483140">
        <w:rPr>
          <w:rFonts w:ascii="Cambria" w:hAnsi="Cambria"/>
        </w:rPr>
        <w:t xml:space="preserve"> spins in each of the</w:t>
      </w:r>
      <w:r w:rsidR="0087103C" w:rsidRPr="00BD3AAE">
        <w:rPr>
          <w:rFonts w:ascii="Cambria" w:hAnsi="Cambria"/>
        </w:rPr>
        <w:t xml:space="preserve"> </w:t>
      </w:r>
      <w:r w:rsidR="00A438D4">
        <w:rPr>
          <w:rFonts w:ascii="Cambria" w:hAnsi="Cambria"/>
        </w:rPr>
        <w:t xml:space="preserve">interconverting </w:t>
      </w:r>
      <w:r w:rsidR="0087103C" w:rsidRPr="00A438D4">
        <w:rPr>
          <w:rFonts w:ascii="Cambria" w:hAnsi="Cambria"/>
          <w:i/>
        </w:rPr>
        <w:t>I</w:t>
      </w:r>
      <w:r w:rsidR="0087103C" w:rsidRPr="00BD3AAE">
        <w:rPr>
          <w:rFonts w:ascii="Cambria" w:hAnsi="Cambria"/>
        </w:rPr>
        <w:t xml:space="preserve"> and </w:t>
      </w:r>
      <w:r w:rsidR="0087103C" w:rsidRPr="00A438D4">
        <w:rPr>
          <w:rFonts w:ascii="Cambria" w:hAnsi="Cambria"/>
          <w:i/>
        </w:rPr>
        <w:t>N</w:t>
      </w:r>
      <w:r w:rsidR="0087103C" w:rsidRPr="00BD3AAE">
        <w:rPr>
          <w:rFonts w:ascii="Cambria" w:hAnsi="Cambria"/>
        </w:rPr>
        <w:t xml:space="preserve"> states in ppm</w:t>
      </w:r>
      <w:r w:rsidR="001D6843">
        <w:rPr>
          <w:rFonts w:ascii="Cambria" w:hAnsi="Cambria"/>
        </w:rPr>
        <w:t>),</w:t>
      </w:r>
      <w:r w:rsidR="0087103C" w:rsidRPr="00BD3AAE">
        <w:rPr>
          <w:rFonts w:ascii="Cambria" w:hAnsi="Cambria"/>
        </w:rPr>
        <w:t xml:space="preserve"> </w:t>
      </w:r>
      <w:r w:rsidR="00A438D4">
        <w:rPr>
          <w:rFonts w:ascii="Cambria" w:hAnsi="Cambria"/>
        </w:rPr>
        <w:t xml:space="preserve">(ii) </w:t>
      </w:r>
      <w:r w:rsidR="0087103C" w:rsidRPr="00BD3AAE">
        <w:rPr>
          <w:rFonts w:ascii="Cambria" w:hAnsi="Cambria"/>
        </w:rPr>
        <w:t>transverse relaxation rate constant (</w:t>
      </w:r>
      <w:r w:rsidR="0087103C" w:rsidRPr="00A438D4">
        <w:rPr>
          <w:rFonts w:ascii="Cambria" w:hAnsi="Cambria"/>
          <w:i/>
        </w:rPr>
        <w:t>R</w:t>
      </w:r>
      <w:r w:rsidR="0087103C" w:rsidRPr="00A438D4">
        <w:rPr>
          <w:rFonts w:ascii="Cambria" w:hAnsi="Cambria"/>
          <w:i/>
          <w:vertAlign w:val="subscript"/>
        </w:rPr>
        <w:t>2</w:t>
      </w:r>
      <w:r w:rsidR="00A438D4">
        <w:rPr>
          <w:rFonts w:ascii="Cambria" w:hAnsi="Cambria"/>
        </w:rPr>
        <w:t xml:space="preserve"> evaluated at </w:t>
      </w:r>
      <w:r w:rsidR="001B05F1" w:rsidRPr="001B05F1">
        <w:rPr>
          <w:rFonts w:ascii="Cambria" w:hAnsi="Cambria"/>
          <w:position w:val="-12"/>
        </w:rPr>
        <w:object w:dxaOrig="1100" w:dyaOrig="340" w14:anchorId="08399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17pt" o:ole="">
            <v:imagedata r:id="rId7" o:title=""/>
          </v:shape>
          <o:OLEObject Type="Embed" ProgID="Equation.3" ShapeID="_x0000_i1025" DrawAspect="Content" ObjectID="_1337690183" r:id="rId8"/>
        </w:object>
      </w:r>
      <w:r w:rsidR="00A438D4">
        <w:rPr>
          <w:rFonts w:ascii="Cambria" w:hAnsi="Cambria"/>
        </w:rPr>
        <w:t>)</w:t>
      </w:r>
      <w:r w:rsidR="0087103C" w:rsidRPr="00BD3AAE">
        <w:rPr>
          <w:rFonts w:ascii="Cambria" w:hAnsi="Cambria"/>
        </w:rPr>
        <w:t xml:space="preserve">, and </w:t>
      </w:r>
      <w:r w:rsidR="00163F32">
        <w:rPr>
          <w:rFonts w:ascii="Cambria" w:hAnsi="Cambria"/>
        </w:rPr>
        <w:t xml:space="preserve">(iii) the </w:t>
      </w:r>
      <w:r w:rsidR="0087103C" w:rsidRPr="00BD3AAE">
        <w:rPr>
          <w:rFonts w:ascii="Cambria" w:hAnsi="Cambria"/>
        </w:rPr>
        <w:t xml:space="preserve">initial intensity </w:t>
      </w:r>
      <w:r w:rsidR="00163F32">
        <w:rPr>
          <w:rFonts w:ascii="Cambria" w:hAnsi="Cambria"/>
        </w:rPr>
        <w:t xml:space="preserve">of magnetization </w:t>
      </w:r>
      <w:r w:rsidR="0087103C" w:rsidRPr="00BD3AAE">
        <w:rPr>
          <w:rFonts w:ascii="Cambria" w:hAnsi="Cambria"/>
        </w:rPr>
        <w:t>(</w:t>
      </w:r>
      <w:r w:rsidR="0087103C" w:rsidRPr="00163F32">
        <w:rPr>
          <w:rFonts w:ascii="Cambria" w:hAnsi="Cambria"/>
          <w:i/>
        </w:rPr>
        <w:t>I</w:t>
      </w:r>
      <w:r w:rsidR="0087103C" w:rsidRPr="00163F32">
        <w:rPr>
          <w:rFonts w:ascii="Cambria" w:hAnsi="Cambria"/>
          <w:i/>
          <w:vertAlign w:val="subscript"/>
        </w:rPr>
        <w:t>0</w:t>
      </w:r>
      <w:r w:rsidR="0087103C" w:rsidRPr="00BD3AAE">
        <w:rPr>
          <w:rFonts w:ascii="Cambria" w:hAnsi="Cambria"/>
        </w:rPr>
        <w:t>).</w:t>
      </w:r>
      <w:r w:rsidR="001D6843">
        <w:rPr>
          <w:rFonts w:ascii="Cambria" w:hAnsi="Cambria"/>
        </w:rPr>
        <w:t xml:space="preserve">  </w:t>
      </w:r>
      <w:r w:rsidR="00925E3B">
        <w:rPr>
          <w:rFonts w:ascii="Cambria" w:hAnsi="Cambria"/>
        </w:rPr>
        <w:t xml:space="preserve">RD data </w:t>
      </w:r>
      <w:r w:rsidR="00D66F43">
        <w:rPr>
          <w:rFonts w:ascii="Cambria" w:hAnsi="Cambria"/>
        </w:rPr>
        <w:t>for each nucleus type (</w:t>
      </w:r>
      <w:r w:rsidR="00D66F43" w:rsidRPr="00D66F43">
        <w:rPr>
          <w:rFonts w:ascii="Cambria" w:hAnsi="Cambria"/>
          <w:vertAlign w:val="superscript"/>
        </w:rPr>
        <w:t>1</w:t>
      </w:r>
      <w:r w:rsidR="00D66F43">
        <w:rPr>
          <w:rFonts w:ascii="Cambria" w:hAnsi="Cambria"/>
        </w:rPr>
        <w:t xml:space="preserve">H or </w:t>
      </w:r>
      <w:r w:rsidR="00D66F43" w:rsidRPr="00D66F43">
        <w:rPr>
          <w:rFonts w:ascii="Cambria" w:hAnsi="Cambria"/>
          <w:vertAlign w:val="superscript"/>
        </w:rPr>
        <w:t>13</w:t>
      </w:r>
      <w:r w:rsidR="00D66F43">
        <w:rPr>
          <w:rFonts w:ascii="Cambria" w:hAnsi="Cambria"/>
        </w:rPr>
        <w:t>C),</w:t>
      </w:r>
      <w:r w:rsidR="00925E3B">
        <w:rPr>
          <w:rFonts w:ascii="Cambria" w:hAnsi="Cambria"/>
        </w:rPr>
        <w:t xml:space="preserve"> </w:t>
      </w:r>
      <w:r w:rsidR="00944C82">
        <w:rPr>
          <w:rFonts w:ascii="Cambria" w:hAnsi="Cambria"/>
        </w:rPr>
        <w:t>and for</w:t>
      </w:r>
      <w:r w:rsidR="00925E3B">
        <w:rPr>
          <w:rFonts w:ascii="Cambria" w:hAnsi="Cambria"/>
        </w:rPr>
        <w:t xml:space="preserve"> each solution condition were analyzed separately, </w:t>
      </w:r>
      <w:r w:rsidR="00944C82">
        <w:rPr>
          <w:rFonts w:ascii="Cambria" w:hAnsi="Cambria"/>
        </w:rPr>
        <w:t xml:space="preserve">with profiles </w:t>
      </w:r>
      <w:r w:rsidR="00925E3B">
        <w:rPr>
          <w:rFonts w:ascii="Cambria" w:hAnsi="Cambria"/>
        </w:rPr>
        <w:t xml:space="preserve">collected at two static </w:t>
      </w:r>
      <w:r w:rsidR="00944C82">
        <w:rPr>
          <w:rFonts w:ascii="Cambria" w:hAnsi="Cambria"/>
        </w:rPr>
        <w:t xml:space="preserve">magnetic fields (14.1 T, 18.8 T) </w:t>
      </w:r>
      <w:r w:rsidR="00925E3B">
        <w:rPr>
          <w:rFonts w:ascii="Cambria" w:hAnsi="Cambria"/>
        </w:rPr>
        <w:t>fit</w:t>
      </w:r>
      <w:r w:rsidR="00944C82">
        <w:rPr>
          <w:rFonts w:ascii="Cambria" w:hAnsi="Cambria"/>
        </w:rPr>
        <w:t>ted</w:t>
      </w:r>
      <w:r w:rsidR="00925E3B">
        <w:rPr>
          <w:rFonts w:ascii="Cambria" w:hAnsi="Cambria"/>
        </w:rPr>
        <w:t xml:space="preserve"> together. </w:t>
      </w:r>
      <w:r w:rsidR="00925E3B" w:rsidRPr="00925E3B">
        <w:rPr>
          <w:rFonts w:ascii="Cambria" w:hAnsi="Cambria"/>
        </w:rPr>
        <w:t>Generally</w:t>
      </w:r>
      <w:r w:rsidR="00925E3B">
        <w:rPr>
          <w:rFonts w:ascii="Cambria" w:hAnsi="Cambria"/>
        </w:rPr>
        <w:t xml:space="preserve">, </w:t>
      </w:r>
      <w:r w:rsidR="004E08FB">
        <w:rPr>
          <w:rFonts w:ascii="Cambria" w:hAnsi="Cambria"/>
        </w:rPr>
        <w:t>RD data</w:t>
      </w:r>
      <w:r w:rsidR="00925E3B">
        <w:rPr>
          <w:rFonts w:ascii="Cambria" w:hAnsi="Cambria"/>
        </w:rPr>
        <w:t xml:space="preserve"> from L24C</w:t>
      </w:r>
      <w:r w:rsidR="00925E3B" w:rsidRPr="00925E3B">
        <w:rPr>
          <w:rFonts w:ascii="Symbol" w:hAnsi="Symbol"/>
        </w:rPr>
        <w:t></w:t>
      </w:r>
      <w:r w:rsidR="00925E3B">
        <w:rPr>
          <w:rFonts w:ascii="Cambria" w:hAnsi="Cambria"/>
        </w:rPr>
        <w:t>1 and L25C</w:t>
      </w:r>
      <w:r w:rsidR="00925E3B" w:rsidRPr="00925E3B">
        <w:rPr>
          <w:rFonts w:ascii="Symbol" w:hAnsi="Symbol"/>
        </w:rPr>
        <w:t></w:t>
      </w:r>
      <w:r w:rsidR="00925E3B">
        <w:rPr>
          <w:rFonts w:ascii="Cambria" w:hAnsi="Cambria"/>
        </w:rPr>
        <w:t>1 (</w:t>
      </w:r>
      <w:r w:rsidR="00925E3B">
        <w:rPr>
          <w:rFonts w:ascii="Cambria" w:hAnsi="Cambria"/>
          <w:vertAlign w:val="superscript"/>
        </w:rPr>
        <w:t>13</w:t>
      </w:r>
      <w:r w:rsidR="00925E3B">
        <w:rPr>
          <w:rFonts w:ascii="Cambria" w:hAnsi="Cambria"/>
        </w:rPr>
        <w:t>C RD)</w:t>
      </w:r>
      <w:r w:rsidR="00944C82">
        <w:rPr>
          <w:rFonts w:ascii="Cambria" w:hAnsi="Cambria"/>
        </w:rPr>
        <w:t xml:space="preserve"> and from</w:t>
      </w:r>
      <w:r w:rsidR="00925E3B">
        <w:rPr>
          <w:rFonts w:ascii="Cambria" w:hAnsi="Cambria"/>
        </w:rPr>
        <w:t xml:space="preserve"> L52H</w:t>
      </w:r>
      <w:r w:rsidR="00925E3B" w:rsidRPr="00925E3B">
        <w:rPr>
          <w:rFonts w:ascii="Symbol" w:hAnsi="Symbol"/>
        </w:rPr>
        <w:t></w:t>
      </w:r>
      <w:r w:rsidR="00925E3B">
        <w:rPr>
          <w:rFonts w:ascii="Cambria" w:hAnsi="Cambria"/>
        </w:rPr>
        <w:t>2 and M40H</w:t>
      </w:r>
      <w:r w:rsidR="00925E3B" w:rsidRPr="00925E3B">
        <w:rPr>
          <w:rFonts w:ascii="Symbol" w:hAnsi="Symbol"/>
        </w:rPr>
        <w:t></w:t>
      </w:r>
      <w:r w:rsidR="00925E3B">
        <w:rPr>
          <w:rFonts w:ascii="Cambria" w:hAnsi="Cambria"/>
        </w:rPr>
        <w:t xml:space="preserve"> (</w:t>
      </w:r>
      <w:r w:rsidR="00925E3B">
        <w:rPr>
          <w:rFonts w:ascii="Cambria" w:hAnsi="Cambria"/>
          <w:vertAlign w:val="superscript"/>
        </w:rPr>
        <w:t>1</w:t>
      </w:r>
      <w:r w:rsidR="00925E3B">
        <w:rPr>
          <w:rFonts w:ascii="Cambria" w:hAnsi="Cambria"/>
        </w:rPr>
        <w:t xml:space="preserve">H RD) were initially fit to obtain </w:t>
      </w:r>
      <w:r w:rsidR="004E08FB" w:rsidRPr="004E08FB">
        <w:rPr>
          <w:rFonts w:ascii="Cambria" w:hAnsi="Cambria"/>
        </w:rPr>
        <w:t>preliminary</w:t>
      </w:r>
      <w:r w:rsidR="004E08FB">
        <w:rPr>
          <w:rFonts w:ascii="Cambria" w:hAnsi="Cambria"/>
        </w:rPr>
        <w:t xml:space="preserve"> </w:t>
      </w:r>
      <w:r w:rsidR="00925E3B">
        <w:rPr>
          <w:rFonts w:ascii="Cambria" w:hAnsi="Cambria"/>
        </w:rPr>
        <w:t xml:space="preserve">values for </w:t>
      </w:r>
      <w:r w:rsidR="00925E3B">
        <w:rPr>
          <w:rFonts w:ascii="Cambria" w:hAnsi="Cambria"/>
          <w:i/>
        </w:rPr>
        <w:t>k</w:t>
      </w:r>
      <w:r w:rsidR="00925E3B">
        <w:rPr>
          <w:rFonts w:ascii="Cambria" w:hAnsi="Cambria"/>
          <w:i/>
          <w:vertAlign w:val="subscript"/>
        </w:rPr>
        <w:t>ex</w:t>
      </w:r>
      <w:r w:rsidR="00925E3B">
        <w:rPr>
          <w:rFonts w:ascii="Cambria" w:hAnsi="Cambria"/>
        </w:rPr>
        <w:t xml:space="preserve"> and </w:t>
      </w:r>
      <w:r w:rsidR="00925E3B">
        <w:rPr>
          <w:rFonts w:ascii="Cambria" w:hAnsi="Cambria"/>
          <w:i/>
        </w:rPr>
        <w:t>p</w:t>
      </w:r>
      <w:r w:rsidR="00925E3B">
        <w:rPr>
          <w:rFonts w:ascii="Cambria" w:hAnsi="Cambria"/>
          <w:i/>
          <w:vertAlign w:val="subscript"/>
        </w:rPr>
        <w:t>I</w:t>
      </w:r>
      <w:r w:rsidR="00925E3B">
        <w:rPr>
          <w:rFonts w:ascii="Cambria" w:hAnsi="Cambria"/>
        </w:rPr>
        <w:t xml:space="preserve">.  These values were then used as starting parameters for </w:t>
      </w:r>
      <w:r w:rsidR="00944C82">
        <w:rPr>
          <w:rFonts w:ascii="Cambria" w:hAnsi="Cambria"/>
        </w:rPr>
        <w:t xml:space="preserve">the analysis of </w:t>
      </w:r>
      <w:r w:rsidR="00925E3B">
        <w:rPr>
          <w:rFonts w:ascii="Cambria" w:hAnsi="Cambria"/>
        </w:rPr>
        <w:t>RD profiles with</w:t>
      </w:r>
      <w:r w:rsidR="00DA317E">
        <w:rPr>
          <w:rFonts w:ascii="Cambria" w:hAnsi="Cambria"/>
        </w:rPr>
        <w:t xml:space="preserve"> </w:t>
      </w:r>
      <w:r w:rsidR="00944C82" w:rsidRPr="00925E3B">
        <w:rPr>
          <w:rFonts w:ascii="Cambria" w:hAnsi="Cambria"/>
          <w:i/>
        </w:rPr>
        <w:t>R</w:t>
      </w:r>
      <w:r w:rsidR="00944C82" w:rsidRPr="00925E3B">
        <w:rPr>
          <w:rFonts w:ascii="Cambria" w:hAnsi="Cambria"/>
          <w:i/>
          <w:vertAlign w:val="subscript"/>
        </w:rPr>
        <w:t>2,eff</w:t>
      </w:r>
      <w:r w:rsidR="00944C82">
        <w:rPr>
          <w:rFonts w:ascii="Cambria" w:hAnsi="Cambria"/>
        </w:rPr>
        <w:t>(</w:t>
      </w:r>
      <w:r w:rsidR="00944C82" w:rsidRPr="00925E3B">
        <w:rPr>
          <w:rFonts w:ascii="Symbol" w:hAnsi="Symbol"/>
          <w:i/>
        </w:rPr>
        <w:t></w:t>
      </w:r>
      <w:r w:rsidR="00944C82" w:rsidRPr="003A5E86">
        <w:rPr>
          <w:rFonts w:ascii="Cambria" w:hAnsi="Cambria"/>
          <w:i/>
          <w:vertAlign w:val="subscript"/>
        </w:rPr>
        <w:t>max</w:t>
      </w:r>
      <w:r w:rsidR="00944C82">
        <w:rPr>
          <w:rFonts w:ascii="Cambria" w:hAnsi="Cambria"/>
        </w:rPr>
        <w:t xml:space="preserve">) – </w:t>
      </w:r>
      <w:r w:rsidR="00944C82" w:rsidRPr="00925E3B">
        <w:rPr>
          <w:rFonts w:ascii="Cambria" w:hAnsi="Cambria"/>
          <w:i/>
        </w:rPr>
        <w:t>R</w:t>
      </w:r>
      <w:r w:rsidR="00944C82" w:rsidRPr="00925E3B">
        <w:rPr>
          <w:rFonts w:ascii="Cambria" w:hAnsi="Cambria"/>
          <w:i/>
          <w:vertAlign w:val="subscript"/>
        </w:rPr>
        <w:t>2,eff</w:t>
      </w:r>
      <w:r w:rsidR="00944C82">
        <w:rPr>
          <w:rFonts w:ascii="Cambria" w:hAnsi="Cambria"/>
        </w:rPr>
        <w:t>(</w:t>
      </w:r>
      <w:r w:rsidR="00944C82" w:rsidRPr="00925E3B">
        <w:rPr>
          <w:rFonts w:ascii="Symbol" w:hAnsi="Symbol"/>
          <w:i/>
        </w:rPr>
        <w:t></w:t>
      </w:r>
      <w:r w:rsidR="00944C82" w:rsidRPr="003A5E86">
        <w:rPr>
          <w:rFonts w:ascii="Cambria" w:hAnsi="Cambria"/>
          <w:i/>
          <w:vertAlign w:val="subscript"/>
        </w:rPr>
        <w:t>min</w:t>
      </w:r>
      <w:r w:rsidR="00944C82">
        <w:rPr>
          <w:rFonts w:ascii="Cambria" w:hAnsi="Cambria"/>
        </w:rPr>
        <w:t xml:space="preserve">) </w:t>
      </w:r>
      <w:r w:rsidR="00925E3B">
        <w:rPr>
          <w:rFonts w:ascii="Cambria" w:hAnsi="Cambria"/>
        </w:rPr>
        <w:t>&gt; 4.0 s</w:t>
      </w:r>
      <w:r w:rsidR="00925E3B">
        <w:rPr>
          <w:rFonts w:ascii="Cambria" w:hAnsi="Cambria"/>
          <w:vertAlign w:val="superscript"/>
        </w:rPr>
        <w:t>-1</w:t>
      </w:r>
      <w:r w:rsidR="00925E3B">
        <w:rPr>
          <w:rFonts w:ascii="Cambria" w:hAnsi="Cambria"/>
        </w:rPr>
        <w:t xml:space="preserve"> to determine </w:t>
      </w:r>
      <w:r w:rsidR="00925E3B" w:rsidRPr="00BD3AAE">
        <w:rPr>
          <w:rFonts w:ascii="Cambria" w:hAnsi="Cambria"/>
        </w:rPr>
        <w:t>|</w:t>
      </w:r>
      <w:r w:rsidR="00925E3B" w:rsidRPr="0041768B">
        <w:rPr>
          <w:rFonts w:ascii="Symbol" w:hAnsi="Symbol"/>
          <w:i/>
        </w:rPr>
        <w:t></w:t>
      </w:r>
      <w:r w:rsidR="00925E3B" w:rsidRPr="0041768B">
        <w:rPr>
          <w:rFonts w:ascii="Symbol" w:hAnsi="Symbol"/>
          <w:i/>
        </w:rPr>
        <w:t></w:t>
      </w:r>
      <w:r w:rsidR="00925E3B" w:rsidRPr="00BD3AAE">
        <w:rPr>
          <w:rFonts w:ascii="Cambria" w:hAnsi="Cambria"/>
        </w:rPr>
        <w:t>|</w:t>
      </w:r>
      <w:r w:rsidR="00925E3B">
        <w:rPr>
          <w:rFonts w:ascii="Cambria" w:hAnsi="Cambria"/>
        </w:rPr>
        <w:t xml:space="preserve"> and </w:t>
      </w:r>
      <w:r w:rsidR="00925E3B" w:rsidRPr="00944C82">
        <w:rPr>
          <w:rFonts w:ascii="Cambria" w:hAnsi="Cambria"/>
          <w:i/>
        </w:rPr>
        <w:t>R</w:t>
      </w:r>
      <w:r w:rsidR="00925E3B" w:rsidRPr="00944C82">
        <w:rPr>
          <w:rFonts w:ascii="Cambria" w:hAnsi="Cambria"/>
          <w:i/>
          <w:vertAlign w:val="subscript"/>
        </w:rPr>
        <w:t>2</w:t>
      </w:r>
      <w:r w:rsidR="00925E3B">
        <w:rPr>
          <w:rFonts w:ascii="Cambria" w:hAnsi="Cambria"/>
        </w:rPr>
        <w:t>.  Finally, all global and local parameters were allowed to vary</w:t>
      </w:r>
      <w:r w:rsidR="00944C82">
        <w:rPr>
          <w:rFonts w:ascii="Cambria" w:hAnsi="Cambria"/>
        </w:rPr>
        <w:t xml:space="preserve">, starting from </w:t>
      </w:r>
      <w:r w:rsidR="0032675A">
        <w:rPr>
          <w:rFonts w:ascii="Cambria" w:hAnsi="Cambria"/>
        </w:rPr>
        <w:t>the best fit values previously obtained,</w:t>
      </w:r>
      <w:r w:rsidR="00925E3B">
        <w:rPr>
          <w:rFonts w:ascii="Cambria" w:hAnsi="Cambria"/>
        </w:rPr>
        <w:t xml:space="preserve"> to </w:t>
      </w:r>
      <w:r w:rsidR="0032675A">
        <w:rPr>
          <w:rFonts w:ascii="Cambria" w:hAnsi="Cambria"/>
        </w:rPr>
        <w:t>generate the final set of parameters that are subsequently reported</w:t>
      </w:r>
      <w:r w:rsidR="00483140">
        <w:rPr>
          <w:rFonts w:ascii="Cambria" w:hAnsi="Cambria"/>
        </w:rPr>
        <w:t>, Table S1</w:t>
      </w:r>
      <w:r w:rsidR="0032675A">
        <w:rPr>
          <w:rFonts w:ascii="Cambria" w:hAnsi="Cambria"/>
        </w:rPr>
        <w:t>.</w:t>
      </w:r>
      <w:r w:rsidR="004574B3">
        <w:rPr>
          <w:rFonts w:ascii="Cambria" w:hAnsi="Cambria"/>
        </w:rPr>
        <w:t xml:space="preserve"> </w:t>
      </w:r>
      <w:r w:rsidR="00925E3B" w:rsidRPr="00EF6822">
        <w:rPr>
          <w:rFonts w:ascii="Cambria" w:hAnsi="Cambria"/>
        </w:rPr>
        <w:t xml:space="preserve">To </w:t>
      </w:r>
      <w:r w:rsidR="00637288" w:rsidRPr="00EF6822">
        <w:rPr>
          <w:rFonts w:ascii="Cambria" w:hAnsi="Cambria"/>
        </w:rPr>
        <w:t>investigate whether</w:t>
      </w:r>
      <w:r w:rsidR="00925E3B" w:rsidRPr="00EF6822">
        <w:rPr>
          <w:rFonts w:ascii="Cambria" w:hAnsi="Cambria"/>
        </w:rPr>
        <w:t xml:space="preserve"> </w:t>
      </w:r>
      <w:r w:rsidR="00925E3B" w:rsidRPr="00EF6822">
        <w:rPr>
          <w:rFonts w:ascii="Cambria" w:hAnsi="Cambria"/>
          <w:i/>
        </w:rPr>
        <w:t>k</w:t>
      </w:r>
      <w:r w:rsidR="00925E3B" w:rsidRPr="00EF6822">
        <w:rPr>
          <w:rFonts w:ascii="Cambria" w:hAnsi="Cambria"/>
          <w:i/>
          <w:vertAlign w:val="subscript"/>
        </w:rPr>
        <w:t>ex</w:t>
      </w:r>
      <w:r w:rsidR="00925E3B" w:rsidRPr="00EF6822">
        <w:rPr>
          <w:rFonts w:ascii="Cambria" w:hAnsi="Cambria"/>
        </w:rPr>
        <w:t xml:space="preserve"> and </w:t>
      </w:r>
      <w:r w:rsidR="00925E3B" w:rsidRPr="00EF6822">
        <w:rPr>
          <w:rFonts w:ascii="Cambria" w:hAnsi="Cambria"/>
          <w:i/>
        </w:rPr>
        <w:t>p</w:t>
      </w:r>
      <w:r w:rsidR="00925E3B" w:rsidRPr="00EF6822">
        <w:rPr>
          <w:rFonts w:ascii="Cambria" w:hAnsi="Cambria"/>
          <w:i/>
          <w:vertAlign w:val="subscript"/>
        </w:rPr>
        <w:t>I</w:t>
      </w:r>
      <w:r w:rsidR="00925E3B" w:rsidRPr="00EF6822">
        <w:rPr>
          <w:rFonts w:ascii="Cambria" w:hAnsi="Cambria"/>
        </w:rPr>
        <w:t xml:space="preserve"> are</w:t>
      </w:r>
      <w:r w:rsidR="00637288" w:rsidRPr="00EF6822">
        <w:rPr>
          <w:rFonts w:ascii="Cambria" w:hAnsi="Cambria"/>
        </w:rPr>
        <w:t xml:space="preserve"> correlated, and hence whether values can be compared between different lysate and buffer samples, we have </w:t>
      </w:r>
      <w:r w:rsidR="00F761C5" w:rsidRPr="00EF6822">
        <w:rPr>
          <w:rFonts w:ascii="Cambria" w:hAnsi="Cambria"/>
        </w:rPr>
        <w:t xml:space="preserve">performed </w:t>
      </w:r>
      <w:r w:rsidR="00122320" w:rsidRPr="00EF6822">
        <w:rPr>
          <w:rFonts w:ascii="Cambria" w:hAnsi="Cambria"/>
        </w:rPr>
        <w:t>bootstrap</w:t>
      </w:r>
      <w:r w:rsidR="00F761C5" w:rsidRPr="00EF6822">
        <w:rPr>
          <w:rFonts w:ascii="Cambria" w:hAnsi="Cambria"/>
        </w:rPr>
        <w:t xml:space="preserve"> simulations</w:t>
      </w:r>
      <w:r w:rsidR="0012274B">
        <w:rPr>
          <w:rFonts w:ascii="Cambria" w:hAnsi="Cambria"/>
        </w:rPr>
        <w:t xml:space="preserve"> </w:t>
      </w:r>
      <w:r w:rsidR="00E731ED" w:rsidRPr="00EF6822">
        <w:rPr>
          <w:rFonts w:ascii="Cambria" w:hAnsi="Cambria"/>
        </w:rPr>
        <w:fldChar w:fldCharType="begin" w:fldLock="1"/>
      </w:r>
      <w:r w:rsidR="0012274B">
        <w:rPr>
          <w:rFonts w:ascii="Cambria" w:hAnsi="Cambria"/>
        </w:rPr>
        <w:instrText>ADDIN CSL_CITATION { "citationItems" : [ { "id" : "ITEM-1", "itemData" : { "ISBN" : "0521880688", "abstract" : "Do you want easy access to the latest methods in scientific computing? This greatly expanded third edition of Numerical Recipes has it, with wider coverage than ever before, many new, expanded and updated sections, and two completely new chapters. The executable C++ code, now printed in color for easy reading, adopts an object-oriented style particularly suited to scientific applications. Co-authored by four leading scientists from academia and industry, Numerical Recipes starts with basic mathematics and computer science and proceeds to complete, working routines. The whole book is presented in the informal, easy-to-read style that made earlier editions so popular. Highlights of the new material include: a new chapter on classification and inference, Gaussian mixture models, HMMs, hierarchical clustering, and SVMs; a new chapter on computational geometry, covering KD trees, quad- and octrees, Delaunay triangulation, and algorithms for lines, polygons, triangles, and spheres; interior point methods for linear programming; MCMC; an expanded treatment of ODEs with completely new routines; and many new statistical distributions.", "author" : [ { "dropping-particle" : "", "family" : "Press", "given" : "William H", "non-dropping-particle" : "", "parse-names" : false, "suffix" : "" }, { "dropping-particle" : "", "family" : "Teukolsky", "given" : "Saul A", "non-dropping-particle" : "", "parse-names" : false, "suffix" : "" }, { "dropping-particle" : "", "family" : "Vetterling", "given" : "William T", "non-dropping-particle" : "", "parse-names" : false, "suffix" : "" }, { "dropping-particle" : "", "family" : "Flannery", "given" : "Brian P", "non-dropping-particle" : "", "parse-names" : false, "suffix" : "" } ], "container-title" : "Sample page from NUMBERICAL RECIPES IN C", "id" : "ITEM-1", "issued" : { "date-parts" : [ [ "2007" ] ] }, "page" : "1262", "publisher" : "Cambridge University Press", "title" : "Numerical Recipes 3rd Edition: The Art of Scientific Computing", "type" : "book", "volume" : "1" }, "uris" : [ "http://www.mendeley.com/documents/?uuid=89d7f125-4466-41bf-9c6b-ac993be9cc87" ] } ], "mendeley" : { "previouslyFormattedCitation" : "[10]" }, "properties" : { "noteIndex" : 0 }, "schema" : "https://github.com/citation-style-language/schema/raw/master/csl-citation.json" }</w:instrText>
      </w:r>
      <w:r w:rsidR="00E731ED" w:rsidRPr="00EF6822">
        <w:rPr>
          <w:rFonts w:ascii="Cambria" w:hAnsi="Cambria"/>
        </w:rPr>
        <w:fldChar w:fldCharType="separate"/>
      </w:r>
      <w:r w:rsidR="0012274B" w:rsidRPr="0012274B">
        <w:rPr>
          <w:rFonts w:ascii="Cambria" w:hAnsi="Cambria"/>
          <w:noProof/>
        </w:rPr>
        <w:t>[10]</w:t>
      </w:r>
      <w:r w:rsidR="00E731ED" w:rsidRPr="00EF6822">
        <w:rPr>
          <w:rFonts w:ascii="Cambria" w:hAnsi="Cambria"/>
        </w:rPr>
        <w:fldChar w:fldCharType="end"/>
      </w:r>
      <w:r w:rsidR="003A5E86" w:rsidRPr="00EF6822">
        <w:rPr>
          <w:rFonts w:ascii="Cambria" w:hAnsi="Cambria"/>
        </w:rPr>
        <w:t xml:space="preserve"> </w:t>
      </w:r>
      <w:r w:rsidR="00BA7F8D" w:rsidRPr="00EF6822">
        <w:rPr>
          <w:rFonts w:ascii="Cambria" w:hAnsi="Cambria"/>
        </w:rPr>
        <w:t>using</w:t>
      </w:r>
      <w:r w:rsidR="003A5E86" w:rsidRPr="00EF6822">
        <w:rPr>
          <w:rFonts w:ascii="Cambria" w:hAnsi="Cambria"/>
        </w:rPr>
        <w:t xml:space="preserve"> the ChemEx program</w:t>
      </w:r>
      <w:r w:rsidR="004574B3" w:rsidRPr="00EF6822">
        <w:rPr>
          <w:rFonts w:ascii="Cambria" w:hAnsi="Cambria"/>
        </w:rPr>
        <w:t xml:space="preserve"> (available upon request)</w:t>
      </w:r>
      <w:r w:rsidR="003A5E86" w:rsidRPr="00EF6822">
        <w:rPr>
          <w:rFonts w:ascii="Cambria" w:hAnsi="Cambria"/>
        </w:rPr>
        <w:t>.</w:t>
      </w:r>
      <w:r w:rsidR="004E08FB" w:rsidRPr="00EF6822">
        <w:rPr>
          <w:rFonts w:ascii="Cambria" w:hAnsi="Cambria"/>
        </w:rPr>
        <w:t xml:space="preserve"> </w:t>
      </w:r>
      <w:r w:rsidR="00F761C5" w:rsidRPr="00EF6822">
        <w:rPr>
          <w:rFonts w:ascii="Cambria" w:hAnsi="Cambria"/>
        </w:rPr>
        <w:t xml:space="preserve">1000 simulations </w:t>
      </w:r>
      <w:r w:rsidR="00122320" w:rsidRPr="00EF6822">
        <w:rPr>
          <w:rFonts w:ascii="Cambria" w:hAnsi="Cambria"/>
        </w:rPr>
        <w:t xml:space="preserve">were performed using randomly selected values from each dispersion profile while keeping the total </w:t>
      </w:r>
      <w:r w:rsidR="004574B3" w:rsidRPr="00EF6822">
        <w:rPr>
          <w:rFonts w:ascii="Cambria" w:hAnsi="Cambria"/>
        </w:rPr>
        <w:t>number of data points the same.</w:t>
      </w:r>
      <w:r w:rsidR="00122320" w:rsidRPr="00EF6822">
        <w:rPr>
          <w:rFonts w:ascii="Cambria" w:hAnsi="Cambria"/>
        </w:rPr>
        <w:t xml:space="preserve"> The resulting distributions for </w:t>
      </w:r>
      <w:r w:rsidR="00122320" w:rsidRPr="00EF6822">
        <w:rPr>
          <w:rFonts w:ascii="Cambria" w:hAnsi="Cambria"/>
          <w:i/>
        </w:rPr>
        <w:t>k</w:t>
      </w:r>
      <w:r w:rsidR="00122320" w:rsidRPr="00EF6822">
        <w:rPr>
          <w:rFonts w:ascii="Cambria" w:hAnsi="Cambria"/>
          <w:i/>
          <w:vertAlign w:val="subscript"/>
        </w:rPr>
        <w:t>ex</w:t>
      </w:r>
      <w:r w:rsidR="00122320" w:rsidRPr="00EF6822">
        <w:rPr>
          <w:rFonts w:ascii="Cambria" w:hAnsi="Cambria"/>
        </w:rPr>
        <w:t xml:space="preserve"> and </w:t>
      </w:r>
      <w:r w:rsidR="00122320" w:rsidRPr="00EF6822">
        <w:rPr>
          <w:rFonts w:ascii="Cambria" w:hAnsi="Cambria"/>
          <w:i/>
        </w:rPr>
        <w:t>p</w:t>
      </w:r>
      <w:r w:rsidR="00122320" w:rsidRPr="00EF6822">
        <w:rPr>
          <w:rFonts w:ascii="Cambria" w:hAnsi="Cambria"/>
          <w:i/>
          <w:vertAlign w:val="subscript"/>
        </w:rPr>
        <w:t>I</w:t>
      </w:r>
      <w:r w:rsidR="00122320" w:rsidRPr="00EF6822">
        <w:rPr>
          <w:rFonts w:ascii="Cambria" w:hAnsi="Cambria"/>
        </w:rPr>
        <w:t xml:space="preserve"> </w:t>
      </w:r>
      <w:r w:rsidR="00F761C5" w:rsidRPr="00EF6822">
        <w:rPr>
          <w:rFonts w:ascii="Cambria" w:hAnsi="Cambria"/>
        </w:rPr>
        <w:t>are shown in</w:t>
      </w:r>
      <w:r w:rsidR="004E08FB" w:rsidRPr="00EF6822">
        <w:rPr>
          <w:rFonts w:ascii="Cambria" w:hAnsi="Cambria"/>
        </w:rPr>
        <w:t xml:space="preserve"> Supplemental Figure S1.</w:t>
      </w:r>
    </w:p>
    <w:p w14:paraId="1BE64AB5" w14:textId="1DCAB2D0" w:rsidR="00582C39" w:rsidRDefault="00B42E21" w:rsidP="0087103C">
      <w:pPr>
        <w:spacing w:before="100" w:beforeAutospacing="1" w:after="100" w:afterAutospacing="1" w:line="360" w:lineRule="auto"/>
        <w:jc w:val="both"/>
        <w:rPr>
          <w:rFonts w:ascii="Cambria" w:hAnsi="Cambria"/>
        </w:rPr>
      </w:pPr>
      <w:r>
        <w:rPr>
          <w:rFonts w:ascii="Cambria" w:hAnsi="Cambria"/>
        </w:rPr>
        <w:tab/>
        <w:t xml:space="preserve">Translational diffusion coefficients </w:t>
      </w:r>
      <w:r w:rsidR="00FD4C7C">
        <w:rPr>
          <w:rFonts w:ascii="Cambria" w:hAnsi="Cambria"/>
        </w:rPr>
        <w:t xml:space="preserve">of probe molecules in buffer and lysate </w:t>
      </w:r>
      <w:r>
        <w:rPr>
          <w:rFonts w:ascii="Cambria" w:hAnsi="Cambria"/>
        </w:rPr>
        <w:t xml:space="preserve">were determined by fitting peak intensities </w:t>
      </w:r>
      <w:r w:rsidR="00863978">
        <w:rPr>
          <w:rFonts w:ascii="Cambria" w:hAnsi="Cambria"/>
        </w:rPr>
        <w:t>as a function of dephasing/reph</w:t>
      </w:r>
      <w:r>
        <w:rPr>
          <w:rFonts w:ascii="Cambria" w:hAnsi="Cambria"/>
        </w:rPr>
        <w:t>asing gradient strengths to Eq. [8] of Zheng and Price</w:t>
      </w:r>
      <w:r w:rsidR="0012274B">
        <w:rPr>
          <w:rFonts w:ascii="Cambria" w:hAnsi="Cambria"/>
        </w:rPr>
        <w:t xml:space="preserve"> </w:t>
      </w:r>
      <w:r w:rsidR="0012274B">
        <w:rPr>
          <w:rFonts w:ascii="Cambria" w:hAnsi="Cambria"/>
        </w:rPr>
        <w:fldChar w:fldCharType="begin" w:fldLock="1"/>
      </w:r>
      <w:r w:rsidR="0012274B">
        <w:rPr>
          <w:rFonts w:ascii="Cambria" w:hAnsi="Cambria"/>
        </w:rPr>
        <w:instrText>ADDIN CSL_CITATION { "citationItems" : [ { "id" : "ITEM-1", "itemData" : { "DOI" : "10.1007/s10858-009-9367-2", "ISSN" : "1573-5001", "PMID" : "19697137", "abstract" : "Thermal convection and high intensity solvent resonances can significantly hamper diffusion estimates in pulsed gradient spin-echo nuclear magnetic resonance diffusion experiments on biomolecule samples. To overcome these two problems, a new double functional NMR diffusion sequence, double echo PGSTE-WATERGATE, is presented. The new sequence provides excellent convection compensation and solvent suppression (with a suppression factor in excess of at least 10(5) in a single scan) in biomolecular NMR diffusion experiments. Due to its stimulated echo nature, the new sequence is much less susceptible to spin-spin relaxation than Hahn spin-echo based sequences. Furthermore, the new sequence is not susceptible to spin diffusion due to the application of bipolar pulsed gradients. The new sequence is also much easier to set up compared to previously developed stimulated echo based convection compensation and solvent suppression sequence. The utility of the new sequence is demonstrated on an aqueous lysozyme sample.", "author" : [ { "dropping-particle" : "", "family" : "Zheng", "given" : "Gang", "non-dropping-particle" : "", "parse-names" : false, "suffix" : "" }, { "dropping-particle" : "", "family" : "Price", "given" : "William S", "non-dropping-particle" : "", "parse-names" : false, "suffix" : "" } ], "container-title" : "Journal of biomolecular NMR", "id" : "ITEM-1", "issue" : "3", "issued" : { "date-parts" : [ [ "2009", "11" ] ] }, "page" : "295-9", "title" : "Simultaneous convection compensation and solvent suppression in biomolecular NMR diffusion experiments.", "type" : "article-journal", "volume" : "45" }, "uris" : [ "http://www.mendeley.com/documents/?uuid=cbb19a60-74bd-4585-8b86-d1bfb733b6f3" ] } ], "mendeley" : { "previouslyFormattedCitation" : "[5]" }, "properties" : { "noteIndex" : 0 }, "schema" : "https://github.com/citation-style-language/schema/raw/master/csl-citation.json" }</w:instrText>
      </w:r>
      <w:r w:rsidR="0012274B">
        <w:rPr>
          <w:rFonts w:ascii="Cambria" w:hAnsi="Cambria"/>
        </w:rPr>
        <w:fldChar w:fldCharType="separate"/>
      </w:r>
      <w:r w:rsidR="0012274B" w:rsidRPr="0012274B">
        <w:rPr>
          <w:rFonts w:ascii="Cambria" w:hAnsi="Cambria"/>
          <w:noProof/>
        </w:rPr>
        <w:t>[5]</w:t>
      </w:r>
      <w:r w:rsidR="0012274B">
        <w:rPr>
          <w:rFonts w:ascii="Cambria" w:hAnsi="Cambria"/>
        </w:rPr>
        <w:fldChar w:fldCharType="end"/>
      </w:r>
      <w:r>
        <w:rPr>
          <w:rFonts w:ascii="Cambria" w:hAnsi="Cambria"/>
        </w:rPr>
        <w:t xml:space="preserve">. Two diffusion delays were utilized to insure that </w:t>
      </w:r>
      <w:r w:rsidR="00FD4C7C">
        <w:rPr>
          <w:rFonts w:ascii="Cambria" w:hAnsi="Cambria"/>
        </w:rPr>
        <w:t xml:space="preserve">the effects of </w:t>
      </w:r>
      <w:r>
        <w:rPr>
          <w:rFonts w:ascii="Cambria" w:hAnsi="Cambria"/>
        </w:rPr>
        <w:t>convection w</w:t>
      </w:r>
      <w:r w:rsidR="00FD4C7C">
        <w:rPr>
          <w:rFonts w:ascii="Cambria" w:hAnsi="Cambria"/>
        </w:rPr>
        <w:t>ere</w:t>
      </w:r>
      <w:r>
        <w:rPr>
          <w:rFonts w:ascii="Cambria" w:hAnsi="Cambria"/>
        </w:rPr>
        <w:t xml:space="preserve"> correctly compensated by the NMR experiment, </w:t>
      </w:r>
      <w:r w:rsidR="00FD4C7C">
        <w:rPr>
          <w:rFonts w:ascii="Cambria" w:hAnsi="Cambria"/>
        </w:rPr>
        <w:t>with</w:t>
      </w:r>
      <w:r>
        <w:rPr>
          <w:rFonts w:ascii="Cambria" w:hAnsi="Cambria"/>
        </w:rPr>
        <w:t xml:space="preserve"> </w:t>
      </w:r>
      <w:r w:rsidR="00FD4C7C">
        <w:rPr>
          <w:rFonts w:ascii="Cambria" w:hAnsi="Cambria"/>
        </w:rPr>
        <w:t xml:space="preserve">observed </w:t>
      </w:r>
      <w:r>
        <w:rPr>
          <w:rFonts w:ascii="Cambria" w:hAnsi="Cambria"/>
        </w:rPr>
        <w:t xml:space="preserve">differences of less than 2% in the </w:t>
      </w:r>
      <w:r w:rsidR="00FD4C7C">
        <w:rPr>
          <w:rFonts w:ascii="Cambria" w:hAnsi="Cambria"/>
        </w:rPr>
        <w:t xml:space="preserve">measured </w:t>
      </w:r>
      <w:r>
        <w:rPr>
          <w:rFonts w:ascii="Cambria" w:hAnsi="Cambria"/>
        </w:rPr>
        <w:t>diffusion coefficient</w:t>
      </w:r>
      <w:r w:rsidR="00FD4C7C">
        <w:rPr>
          <w:rFonts w:ascii="Cambria" w:hAnsi="Cambria"/>
        </w:rPr>
        <w:t>s</w:t>
      </w:r>
      <w:r w:rsidR="00863978">
        <w:rPr>
          <w:rFonts w:ascii="Cambria" w:hAnsi="Cambria"/>
        </w:rPr>
        <w:t>.</w:t>
      </w:r>
      <w:r w:rsidR="00BA2D05">
        <w:rPr>
          <w:rFonts w:ascii="Cambria" w:hAnsi="Cambria"/>
        </w:rPr>
        <w:t xml:space="preserve"> Microscopic s</w:t>
      </w:r>
      <w:r>
        <w:rPr>
          <w:rFonts w:ascii="Cambria" w:hAnsi="Cambria"/>
        </w:rPr>
        <w:t xml:space="preserve">olution viscosities </w:t>
      </w:r>
      <w:r w:rsidR="00C8230E">
        <w:rPr>
          <w:rFonts w:ascii="Cambria" w:hAnsi="Cambria"/>
        </w:rPr>
        <w:t xml:space="preserve">were </w:t>
      </w:r>
      <w:r w:rsidR="00863978">
        <w:rPr>
          <w:rFonts w:ascii="Cambria" w:hAnsi="Cambria"/>
        </w:rPr>
        <w:t>obtained using</w:t>
      </w:r>
      <w:r w:rsidR="00BA2D05">
        <w:rPr>
          <w:rFonts w:ascii="Cambria" w:hAnsi="Cambria"/>
        </w:rPr>
        <w:t xml:space="preserve"> probes </w:t>
      </w:r>
      <w:r w:rsidR="000007F3">
        <w:rPr>
          <w:rFonts w:ascii="Cambria" w:hAnsi="Cambria"/>
        </w:rPr>
        <w:t xml:space="preserve">with </w:t>
      </w:r>
      <w:r w:rsidR="00BA2D05">
        <w:rPr>
          <w:rFonts w:ascii="Cambria" w:hAnsi="Cambria"/>
        </w:rPr>
        <w:t xml:space="preserve">hydrodynamic radii, </w:t>
      </w:r>
      <w:r w:rsidR="00BA2D05" w:rsidRPr="00BA2D05">
        <w:rPr>
          <w:rFonts w:ascii="Cambria" w:hAnsi="Cambria"/>
          <w:i/>
        </w:rPr>
        <w:t>R</w:t>
      </w:r>
      <w:r w:rsidR="00BA2D05" w:rsidRPr="00BA2D05">
        <w:rPr>
          <w:rFonts w:ascii="Cambria" w:hAnsi="Cambria"/>
          <w:i/>
          <w:vertAlign w:val="subscript"/>
        </w:rPr>
        <w:t>H</w:t>
      </w:r>
      <w:r w:rsidR="00BA2D05">
        <w:rPr>
          <w:rFonts w:ascii="Cambria" w:hAnsi="Cambria"/>
        </w:rPr>
        <w:t>,</w:t>
      </w:r>
      <w:r>
        <w:rPr>
          <w:rFonts w:ascii="Cambria" w:hAnsi="Cambria"/>
        </w:rPr>
        <w:t xml:space="preserve"> </w:t>
      </w:r>
      <w:r w:rsidR="00BA2D05">
        <w:rPr>
          <w:rFonts w:ascii="Cambria" w:hAnsi="Cambria"/>
        </w:rPr>
        <w:t>&lt;</w:t>
      </w:r>
      <w:r w:rsidR="00C8230E">
        <w:rPr>
          <w:rFonts w:ascii="Cambria" w:hAnsi="Cambria"/>
        </w:rPr>
        <w:t xml:space="preserve"> </w:t>
      </w:r>
      <w:r w:rsidR="00BA2D05">
        <w:rPr>
          <w:rFonts w:ascii="Cambria" w:hAnsi="Cambria"/>
        </w:rPr>
        <w:t>5 Å</w:t>
      </w:r>
      <w:r w:rsidR="00C8230E">
        <w:rPr>
          <w:rFonts w:ascii="Cambria" w:hAnsi="Cambria"/>
        </w:rPr>
        <w:t xml:space="preserve">, similar to the effective hydrodynamic radius for the </w:t>
      </w:r>
      <w:r w:rsidR="00D5174A">
        <w:rPr>
          <w:rFonts w:ascii="Cambria" w:hAnsi="Cambria"/>
        </w:rPr>
        <w:t>FF interconversion studied here</w:t>
      </w:r>
      <w:r w:rsidR="0012274B">
        <w:rPr>
          <w:rFonts w:ascii="Cambria" w:hAnsi="Cambria"/>
        </w:rPr>
        <w:t xml:space="preserve"> </w:t>
      </w:r>
      <w:r w:rsidR="0012274B">
        <w:rPr>
          <w:rFonts w:ascii="Cambria" w:hAnsi="Cambria"/>
        </w:rPr>
        <w:fldChar w:fldCharType="begin" w:fldLock="1"/>
      </w:r>
      <w:r w:rsidR="0012274B">
        <w:rPr>
          <w:rFonts w:ascii="Cambria" w:hAnsi="Cambria"/>
        </w:rPr>
        <w:instrText>ADDIN CSL_CITATION { "citationItems" : [ { "id" : "ITEM-1", "itemData" : { "DOI" : "10.1073/pnas.1303273110", "ISSN" : "1091-6490", "PMID" : "23801755", "abstract" : "Although atomic resolution 3D structures of protein native states and some folding intermediates are available, the mechanism of interconversion between such states remains poorly understood. Here we study the four-helix bundle FF module, which folds via a transiently formed and sparsely populated compact on-pathway intermediate, I. Relaxation dispersion NMR spectroscopy has previously been used to elucidate the 3D structure of this intermediate and to establish that the conformational exchange between the I and the native, N, states of the FF domain is driven predominantly by water dynamics. In the present study we use NMR methods to define a length scale for the FF I-N transition, namely the effective hydrodynamic radius (EHR) that provides an average measure of the size of the structural units participating in the transition at any given time. Our experiments establish that the EHR is less than 4 \u00c5, on the order of the size of one to two amino acid side chains, much smaller than the FF domain hydrodynamic radius (13 \u00c5). The small magnitude of the EHR provides strong evidence that the I-N interconversion does not proceed via the synchronous motion of large clusters of amino acid residues, but rather by the exposure/burial of one or two side chains from solvent at any given time. Because the hydration of small hydrophobic solutes (&lt; 4 \u00c5) does not involve considerable dewetting or disruption of the water-hydrogen bonding network, the FF domain I-N transition does not require appreciable changes to the structure of the surrounding water.", "author" : [ { "dropping-particle" : "", "family" : "Sekhar", "given" : "Ashok", "non-dropping-particle" : "", "parse-names" : false, "suffix" : "" }, { "dropping-particle" : "", "family" : "Vallurupalli", "given" : "Pramodh", "non-dropping-particle" : "", "parse-names" : false, "suffix" : "" }, { "dropping-particle" : "", "family" : "Kay", "given" : "Lewis E", "non-dropping-particle" : "", "parse-names" : false, "suffix" : "" } ], "container-title" : "Proceedings of the National Academy of Sciences of the United States of America", "id" : "ITEM-1", "issue" : "28", "issued" : { "date-parts" : [ [ "2013", "7", "9" ] ] }, "page" : "11391-6", "title" : "Defining a length scale for millisecond-timescale protein conformational exchange.", "type" : "article-journal", "volume" : "110" }, "uris" : [ "http://www.mendeley.com/documents/?uuid=5ea1d786-c1b4-4fe1-bcf6-d99a191969a5" ] } ], "mendeley" : { "previouslyFormattedCitation" : "[11]" }, "properties" : { "noteIndex" : 0 }, "schema" : "https://github.com/citation-style-language/schema/raw/master/csl-citation.json" }</w:instrText>
      </w:r>
      <w:r w:rsidR="0012274B">
        <w:rPr>
          <w:rFonts w:ascii="Cambria" w:hAnsi="Cambria"/>
        </w:rPr>
        <w:fldChar w:fldCharType="separate"/>
      </w:r>
      <w:r w:rsidR="0012274B" w:rsidRPr="0012274B">
        <w:rPr>
          <w:rFonts w:ascii="Cambria" w:hAnsi="Cambria"/>
          <w:noProof/>
        </w:rPr>
        <w:t>[11]</w:t>
      </w:r>
      <w:r w:rsidR="0012274B">
        <w:rPr>
          <w:rFonts w:ascii="Cambria" w:hAnsi="Cambria"/>
        </w:rPr>
        <w:fldChar w:fldCharType="end"/>
      </w:r>
      <w:r w:rsidR="00D5174A">
        <w:rPr>
          <w:rFonts w:ascii="Cambria" w:hAnsi="Cambria"/>
        </w:rPr>
        <w:t xml:space="preserve">. </w:t>
      </w:r>
      <w:r w:rsidR="00C8230E">
        <w:rPr>
          <w:rFonts w:ascii="Cambria" w:hAnsi="Cambria"/>
        </w:rPr>
        <w:t xml:space="preserve">Viscosities </w:t>
      </w:r>
      <w:r>
        <w:rPr>
          <w:rFonts w:ascii="Cambria" w:hAnsi="Cambria"/>
        </w:rPr>
        <w:t xml:space="preserve">were calculated by fitting the average translational diffusion coefficients as a function of the probe </w:t>
      </w:r>
      <w:r w:rsidRPr="00B42E21">
        <w:rPr>
          <w:rFonts w:ascii="Cambria" w:hAnsi="Cambria"/>
          <w:i/>
        </w:rPr>
        <w:t>R</w:t>
      </w:r>
      <w:r w:rsidRPr="00B42E21">
        <w:rPr>
          <w:rFonts w:ascii="Cambria" w:hAnsi="Cambria"/>
          <w:i/>
          <w:vertAlign w:val="subscript"/>
        </w:rPr>
        <w:t>H</w:t>
      </w:r>
      <w:r>
        <w:rPr>
          <w:rFonts w:ascii="Cambria" w:hAnsi="Cambria"/>
        </w:rPr>
        <w:t xml:space="preserve"> using the Stokes-Einstein equation, </w:t>
      </w:r>
      <w:r w:rsidRPr="00FE19DA">
        <w:rPr>
          <w:rFonts w:ascii="Cambria" w:hAnsi="Cambria"/>
          <w:position w:val="-26"/>
          <w:lang w:val="en-GB"/>
        </w:rPr>
        <w:object w:dxaOrig="1120" w:dyaOrig="580" w14:anchorId="29A66B00">
          <v:shape id="_x0000_i1026" type="#_x0000_t75" style="width:56pt;height:29pt" o:ole="">
            <v:imagedata r:id="rId9" o:title=""/>
          </v:shape>
          <o:OLEObject Type="Embed" ProgID="Equation.DSMT4" ShapeID="_x0000_i1026" DrawAspect="Content" ObjectID="_1337690184" r:id="rId10"/>
        </w:object>
      </w:r>
      <w:r>
        <w:rPr>
          <w:rFonts w:ascii="Cambria" w:hAnsi="Cambria"/>
        </w:rPr>
        <w:t xml:space="preserve">.  </w:t>
      </w:r>
      <w:r w:rsidR="00FD4C7C">
        <w:rPr>
          <w:rFonts w:ascii="Cambria" w:hAnsi="Cambria"/>
        </w:rPr>
        <w:t xml:space="preserve">Viscosity values in </w:t>
      </w:r>
      <w:r w:rsidR="00FD4C7C" w:rsidRPr="00BA2D05">
        <w:rPr>
          <w:rFonts w:ascii="Cambria" w:hAnsi="Cambria"/>
          <w:i/>
        </w:rPr>
        <w:t>E. coli</w:t>
      </w:r>
      <w:r w:rsidR="00FD4C7C">
        <w:rPr>
          <w:rFonts w:ascii="Cambria" w:hAnsi="Cambria"/>
        </w:rPr>
        <w:t xml:space="preserve"> and </w:t>
      </w:r>
      <w:r w:rsidR="00FD4C7C">
        <w:rPr>
          <w:rFonts w:eastAsia="Times New Roman"/>
          <w:i/>
        </w:rPr>
        <w:t>S. cerevisiae</w:t>
      </w:r>
      <w:r w:rsidR="00FD4C7C">
        <w:rPr>
          <w:rFonts w:eastAsia="Times New Roman"/>
        </w:rPr>
        <w:t xml:space="preserve"> lysate were increased by no more than </w:t>
      </w:r>
      <w:r w:rsidR="00D5174A">
        <w:rPr>
          <w:rFonts w:eastAsia="Times New Roman"/>
        </w:rPr>
        <w:t>~</w:t>
      </w:r>
      <w:r w:rsidR="00BA2D05">
        <w:rPr>
          <w:rFonts w:eastAsia="Times New Roman"/>
        </w:rPr>
        <w:t>40%</w:t>
      </w:r>
      <w:r w:rsidR="00FD4C7C">
        <w:rPr>
          <w:rFonts w:eastAsia="Times New Roman"/>
        </w:rPr>
        <w:t xml:space="preserve"> and </w:t>
      </w:r>
      <w:r w:rsidR="00D5174A">
        <w:rPr>
          <w:rFonts w:eastAsia="Times New Roman"/>
        </w:rPr>
        <w:t>~20</w:t>
      </w:r>
      <w:r w:rsidR="00FD4C7C">
        <w:rPr>
          <w:rFonts w:eastAsia="Times New Roman"/>
        </w:rPr>
        <w:t>%</w:t>
      </w:r>
      <w:r w:rsidR="00BA2D05">
        <w:rPr>
          <w:rFonts w:eastAsia="Times New Roman"/>
        </w:rPr>
        <w:t xml:space="preserve"> respectively,</w:t>
      </w:r>
      <w:r w:rsidR="00FD4C7C">
        <w:rPr>
          <w:rFonts w:eastAsia="Times New Roman"/>
        </w:rPr>
        <w:t xml:space="preserve"> relative to buffer, for the probes examined.</w:t>
      </w:r>
    </w:p>
    <w:p w14:paraId="6CCCCC61" w14:textId="2D330ACE" w:rsidR="00CA19E1" w:rsidRDefault="00CA19E1">
      <w:pPr>
        <w:rPr>
          <w:rFonts w:ascii="Cambria" w:hAnsi="Cambria"/>
        </w:rPr>
      </w:pPr>
      <w:r>
        <w:rPr>
          <w:rFonts w:ascii="Cambria" w:hAnsi="Cambria"/>
        </w:rPr>
        <w:br w:type="page"/>
      </w:r>
    </w:p>
    <w:p w14:paraId="1A325715" w14:textId="77777777" w:rsidR="00945802" w:rsidRDefault="00945802">
      <w:pPr>
        <w:rPr>
          <w:rFonts w:ascii="Cambria" w:hAnsi="Cambria"/>
        </w:rPr>
      </w:pPr>
    </w:p>
    <w:p w14:paraId="07C9A226" w14:textId="77777777" w:rsidR="00C96B8E" w:rsidRPr="00C96B8E" w:rsidRDefault="00C96B8E">
      <w:pPr>
        <w:pStyle w:val="NormalWeb"/>
        <w:ind w:left="640" w:hanging="640"/>
        <w:divId w:val="1312249910"/>
        <w:rPr>
          <w:rFonts w:ascii="Cambria" w:hAnsi="Cambria"/>
          <w:b/>
          <w:sz w:val="24"/>
          <w:szCs w:val="24"/>
        </w:rPr>
      </w:pPr>
      <w:r w:rsidRPr="00C96B8E">
        <w:rPr>
          <w:rFonts w:ascii="Cambria" w:hAnsi="Cambria"/>
          <w:b/>
          <w:sz w:val="24"/>
          <w:szCs w:val="24"/>
        </w:rPr>
        <w:t>References</w:t>
      </w:r>
    </w:p>
    <w:p w14:paraId="63222B90" w14:textId="18C8D419" w:rsidR="0012274B" w:rsidRPr="0012274B" w:rsidRDefault="00550FE6">
      <w:pPr>
        <w:pStyle w:val="NormalWeb"/>
        <w:ind w:left="640" w:hanging="640"/>
        <w:divId w:val="628707221"/>
        <w:rPr>
          <w:rFonts w:ascii="Cambria" w:hAnsi="Cambria"/>
          <w:noProof/>
          <w:sz w:val="24"/>
        </w:rPr>
      </w:pPr>
      <w:r w:rsidRPr="00C96B8E">
        <w:rPr>
          <w:rFonts w:ascii="Cambria" w:hAnsi="Cambria"/>
          <w:sz w:val="24"/>
          <w:szCs w:val="24"/>
        </w:rPr>
        <w:fldChar w:fldCharType="begin" w:fldLock="1"/>
      </w:r>
      <w:r w:rsidR="00C96B8E" w:rsidRPr="00C96B8E">
        <w:rPr>
          <w:rFonts w:ascii="Cambria" w:hAnsi="Cambria"/>
          <w:sz w:val="24"/>
          <w:szCs w:val="24"/>
        </w:rPr>
        <w:instrText xml:space="preserve">ADDIN Mendeley Bibliography CSL_BIBLIOGRAPHY </w:instrText>
      </w:r>
      <w:r w:rsidRPr="00C96B8E">
        <w:rPr>
          <w:rFonts w:ascii="Cambria" w:hAnsi="Cambria"/>
          <w:sz w:val="24"/>
          <w:szCs w:val="24"/>
        </w:rPr>
        <w:fldChar w:fldCharType="separate"/>
      </w:r>
      <w:r w:rsidR="0012274B" w:rsidRPr="0012274B">
        <w:rPr>
          <w:rFonts w:ascii="Cambria" w:hAnsi="Cambria"/>
          <w:noProof/>
          <w:sz w:val="24"/>
        </w:rPr>
        <w:t>[1]</w:t>
      </w:r>
      <w:r w:rsidR="0012274B" w:rsidRPr="0012274B">
        <w:rPr>
          <w:rFonts w:ascii="Cambria" w:hAnsi="Cambria"/>
          <w:noProof/>
          <w:sz w:val="24"/>
        </w:rPr>
        <w:tab/>
        <w:t>Korzhnev DM, Religa TL, Banachewicz W, Fersht AR, Kay LE. A transient and low-populated protein-folding intermediate at atomic resolution. Science 2010;329:1312–6.</w:t>
      </w:r>
    </w:p>
    <w:p w14:paraId="30EE2D12" w14:textId="77777777" w:rsidR="0012274B" w:rsidRPr="0012274B" w:rsidRDefault="0012274B">
      <w:pPr>
        <w:pStyle w:val="NormalWeb"/>
        <w:ind w:left="640" w:hanging="640"/>
        <w:divId w:val="628707221"/>
        <w:rPr>
          <w:rFonts w:ascii="Cambria" w:hAnsi="Cambria"/>
          <w:noProof/>
          <w:sz w:val="24"/>
        </w:rPr>
      </w:pPr>
      <w:r w:rsidRPr="0012274B">
        <w:rPr>
          <w:rFonts w:ascii="Cambria" w:hAnsi="Cambria"/>
          <w:noProof/>
          <w:sz w:val="24"/>
        </w:rPr>
        <w:t>[2]</w:t>
      </w:r>
      <w:r w:rsidRPr="0012274B">
        <w:rPr>
          <w:rFonts w:ascii="Cambria" w:hAnsi="Cambria"/>
          <w:noProof/>
          <w:sz w:val="24"/>
        </w:rPr>
        <w:tab/>
        <w:t>Korzhnev DM, Religa TL, Lundström P, Fersht AR, Kay LE. The folding pathway of an FF domain: characterization of an on-pathway intermediate state under folding conditions by (15)N, (13)C(alpha) and (13)C-methyl relaxation dispersion and (1)H/(2)H-exchange NMR spectroscopy. J Mol Biol 2007;372:497–512.</w:t>
      </w:r>
    </w:p>
    <w:p w14:paraId="3C43EBBF" w14:textId="77777777" w:rsidR="0012274B" w:rsidRPr="0012274B" w:rsidRDefault="0012274B">
      <w:pPr>
        <w:pStyle w:val="NormalWeb"/>
        <w:ind w:left="640" w:hanging="640"/>
        <w:divId w:val="628707221"/>
        <w:rPr>
          <w:rFonts w:ascii="Cambria" w:hAnsi="Cambria"/>
          <w:noProof/>
          <w:sz w:val="24"/>
        </w:rPr>
      </w:pPr>
      <w:r w:rsidRPr="0012274B">
        <w:rPr>
          <w:rFonts w:ascii="Cambria" w:hAnsi="Cambria"/>
          <w:noProof/>
          <w:sz w:val="24"/>
        </w:rPr>
        <w:t>[3]</w:t>
      </w:r>
      <w:r w:rsidRPr="0012274B">
        <w:rPr>
          <w:rFonts w:ascii="Cambria" w:hAnsi="Cambria"/>
          <w:noProof/>
          <w:sz w:val="24"/>
        </w:rPr>
        <w:tab/>
        <w:t>Lundström P, Vallurupalli P, Religa TL, Dahlquist FW, Kay LE. A single-quantum methyl 13C-relaxation dispersion experiment with improved sensitivity. J Biomol NMR 2007;38:79–88.</w:t>
      </w:r>
    </w:p>
    <w:p w14:paraId="14B7E0EC" w14:textId="77777777" w:rsidR="0012274B" w:rsidRPr="0012274B" w:rsidRDefault="0012274B">
      <w:pPr>
        <w:pStyle w:val="NormalWeb"/>
        <w:ind w:left="640" w:hanging="640"/>
        <w:divId w:val="628707221"/>
        <w:rPr>
          <w:rFonts w:ascii="Cambria" w:hAnsi="Cambria"/>
          <w:noProof/>
          <w:sz w:val="24"/>
        </w:rPr>
      </w:pPr>
      <w:r w:rsidRPr="0012274B">
        <w:rPr>
          <w:rFonts w:ascii="Cambria" w:hAnsi="Cambria"/>
          <w:noProof/>
          <w:sz w:val="24"/>
        </w:rPr>
        <w:t>[4]</w:t>
      </w:r>
      <w:r w:rsidRPr="0012274B">
        <w:rPr>
          <w:rFonts w:ascii="Cambria" w:hAnsi="Cambria"/>
          <w:noProof/>
          <w:sz w:val="24"/>
        </w:rPr>
        <w:tab/>
        <w:t>Baldwin AJ, Religa TL, Hansen DF, Bouvignies G, Kay LE. (13)CHD(2) methyl group probes of millisecond time scale exchange in proteins by (1)H relaxation dispersion: an application to proteasome gating residue dynamics. J Am Chem Soc 2010;132:10992–5.</w:t>
      </w:r>
    </w:p>
    <w:p w14:paraId="6D3C6BBD" w14:textId="77777777" w:rsidR="0012274B" w:rsidRPr="0012274B" w:rsidRDefault="0012274B">
      <w:pPr>
        <w:pStyle w:val="NormalWeb"/>
        <w:ind w:left="640" w:hanging="640"/>
        <w:divId w:val="628707221"/>
        <w:rPr>
          <w:rFonts w:ascii="Cambria" w:hAnsi="Cambria"/>
          <w:noProof/>
          <w:sz w:val="24"/>
        </w:rPr>
      </w:pPr>
      <w:r w:rsidRPr="0012274B">
        <w:rPr>
          <w:rFonts w:ascii="Cambria" w:hAnsi="Cambria"/>
          <w:noProof/>
          <w:sz w:val="24"/>
        </w:rPr>
        <w:t>[5]</w:t>
      </w:r>
      <w:r w:rsidRPr="0012274B">
        <w:rPr>
          <w:rFonts w:ascii="Cambria" w:hAnsi="Cambria"/>
          <w:noProof/>
          <w:sz w:val="24"/>
        </w:rPr>
        <w:tab/>
        <w:t>Zheng G, Price WS. Simultaneous convection compensation and solvent suppression in biomolecular NMR diffusion experiments. J Biomol NMR 2009;45:295–9.</w:t>
      </w:r>
    </w:p>
    <w:p w14:paraId="41FE1FBB" w14:textId="77777777" w:rsidR="0012274B" w:rsidRPr="0012274B" w:rsidRDefault="0012274B">
      <w:pPr>
        <w:pStyle w:val="NormalWeb"/>
        <w:ind w:left="640" w:hanging="640"/>
        <w:divId w:val="628707221"/>
        <w:rPr>
          <w:rFonts w:ascii="Cambria" w:hAnsi="Cambria"/>
          <w:noProof/>
          <w:sz w:val="24"/>
        </w:rPr>
      </w:pPr>
      <w:r w:rsidRPr="0012274B">
        <w:rPr>
          <w:rFonts w:ascii="Cambria" w:hAnsi="Cambria"/>
          <w:noProof/>
          <w:sz w:val="24"/>
        </w:rPr>
        <w:t>[6]</w:t>
      </w:r>
      <w:r w:rsidRPr="0012274B">
        <w:rPr>
          <w:rFonts w:ascii="Cambria" w:hAnsi="Cambria"/>
          <w:noProof/>
          <w:sz w:val="24"/>
        </w:rPr>
        <w:tab/>
        <w:t>Delaglio F, Grzesiek S, Vuister GW, Zhu G, Pfeifer J, Bax A. NMRPipe: a multidimensional spectral processing system based on UNIX pipes. J Biomol NMR 1995;6:277–93.</w:t>
      </w:r>
    </w:p>
    <w:p w14:paraId="4D141C54" w14:textId="77777777" w:rsidR="0012274B" w:rsidRPr="0012274B" w:rsidRDefault="0012274B">
      <w:pPr>
        <w:pStyle w:val="NormalWeb"/>
        <w:ind w:left="640" w:hanging="640"/>
        <w:divId w:val="628707221"/>
        <w:rPr>
          <w:rFonts w:ascii="Cambria" w:hAnsi="Cambria"/>
          <w:noProof/>
          <w:sz w:val="24"/>
        </w:rPr>
      </w:pPr>
      <w:r w:rsidRPr="0012274B">
        <w:rPr>
          <w:rFonts w:ascii="Cambria" w:hAnsi="Cambria"/>
          <w:noProof/>
          <w:sz w:val="24"/>
        </w:rPr>
        <w:t>[7]</w:t>
      </w:r>
      <w:r w:rsidRPr="0012274B">
        <w:rPr>
          <w:rFonts w:ascii="Cambria" w:hAnsi="Cambria"/>
          <w:noProof/>
          <w:sz w:val="24"/>
        </w:rPr>
        <w:tab/>
        <w:t>McConnell H. Reaction rates by nuclear magnetic resonance. J Chem Phys 1958;28:430.</w:t>
      </w:r>
    </w:p>
    <w:p w14:paraId="178FA2BA" w14:textId="77777777" w:rsidR="0012274B" w:rsidRPr="0012274B" w:rsidRDefault="0012274B">
      <w:pPr>
        <w:pStyle w:val="NormalWeb"/>
        <w:ind w:left="640" w:hanging="640"/>
        <w:divId w:val="628707221"/>
        <w:rPr>
          <w:rFonts w:ascii="Cambria" w:hAnsi="Cambria"/>
          <w:noProof/>
          <w:sz w:val="24"/>
        </w:rPr>
      </w:pPr>
      <w:r w:rsidRPr="0012274B">
        <w:rPr>
          <w:rFonts w:ascii="Cambria" w:hAnsi="Cambria"/>
          <w:noProof/>
          <w:sz w:val="24"/>
        </w:rPr>
        <w:t>[8]</w:t>
      </w:r>
      <w:r w:rsidRPr="0012274B">
        <w:rPr>
          <w:rFonts w:ascii="Cambria" w:hAnsi="Cambria"/>
          <w:noProof/>
          <w:sz w:val="24"/>
        </w:rPr>
        <w:tab/>
        <w:t>Korzhnev DM, Salvatella X, Vendruscolo M, Di Nardo AA, Davidson AR, Dobson CM, et al. Low-populated folding intermediates of Fyn SH3 characterized by relaxation dispersion NMR. Nature 2004;430:586–90.</w:t>
      </w:r>
    </w:p>
    <w:p w14:paraId="7C6275BC" w14:textId="77777777" w:rsidR="0012274B" w:rsidRPr="0012274B" w:rsidRDefault="0012274B">
      <w:pPr>
        <w:pStyle w:val="NormalWeb"/>
        <w:ind w:left="640" w:hanging="640"/>
        <w:divId w:val="628707221"/>
        <w:rPr>
          <w:rFonts w:ascii="Cambria" w:hAnsi="Cambria"/>
          <w:noProof/>
          <w:sz w:val="24"/>
        </w:rPr>
      </w:pPr>
      <w:r w:rsidRPr="0012274B">
        <w:rPr>
          <w:rFonts w:ascii="Cambria" w:hAnsi="Cambria"/>
          <w:noProof/>
          <w:sz w:val="24"/>
        </w:rPr>
        <w:t>[9]</w:t>
      </w:r>
      <w:r w:rsidRPr="0012274B">
        <w:rPr>
          <w:rFonts w:ascii="Cambria" w:hAnsi="Cambria"/>
          <w:noProof/>
          <w:sz w:val="24"/>
        </w:rPr>
        <w:tab/>
        <w:t>Vallurupalli P, Hansen DF, Stollar E, Meirovitch E, Kay LE. Measurement of bond vector orientations in invisible excited states of proteins. Proc Natl Acad Sci U S A 2007;104:18473–7.</w:t>
      </w:r>
    </w:p>
    <w:p w14:paraId="684BA807" w14:textId="77777777" w:rsidR="0012274B" w:rsidRPr="0012274B" w:rsidRDefault="0012274B">
      <w:pPr>
        <w:pStyle w:val="NormalWeb"/>
        <w:ind w:left="640" w:hanging="640"/>
        <w:divId w:val="628707221"/>
        <w:rPr>
          <w:rFonts w:ascii="Cambria" w:hAnsi="Cambria"/>
          <w:noProof/>
          <w:sz w:val="24"/>
        </w:rPr>
      </w:pPr>
      <w:r w:rsidRPr="0012274B">
        <w:rPr>
          <w:rFonts w:ascii="Cambria" w:hAnsi="Cambria"/>
          <w:noProof/>
          <w:sz w:val="24"/>
        </w:rPr>
        <w:t>[10]</w:t>
      </w:r>
      <w:r w:rsidRPr="0012274B">
        <w:rPr>
          <w:rFonts w:ascii="Cambria" w:hAnsi="Cambria"/>
          <w:noProof/>
          <w:sz w:val="24"/>
        </w:rPr>
        <w:tab/>
        <w:t>Press WH, Teukolsky SA, Vetterling WT, Flannery BP. Numerical Recipes 3rd Edition: The Art of Scientific Computing. vol. 1. Cambridge University Press; 2007.</w:t>
      </w:r>
    </w:p>
    <w:p w14:paraId="397A02C3" w14:textId="77777777" w:rsidR="0012274B" w:rsidRPr="0012274B" w:rsidRDefault="0012274B">
      <w:pPr>
        <w:pStyle w:val="NormalWeb"/>
        <w:ind w:left="640" w:hanging="640"/>
        <w:divId w:val="628707221"/>
        <w:rPr>
          <w:rFonts w:ascii="Cambria" w:hAnsi="Cambria"/>
          <w:noProof/>
          <w:sz w:val="24"/>
        </w:rPr>
      </w:pPr>
      <w:r w:rsidRPr="0012274B">
        <w:rPr>
          <w:rFonts w:ascii="Cambria" w:hAnsi="Cambria"/>
          <w:noProof/>
          <w:sz w:val="24"/>
        </w:rPr>
        <w:t>[11]</w:t>
      </w:r>
      <w:r w:rsidRPr="0012274B">
        <w:rPr>
          <w:rFonts w:ascii="Cambria" w:hAnsi="Cambria"/>
          <w:noProof/>
          <w:sz w:val="24"/>
        </w:rPr>
        <w:tab/>
        <w:t xml:space="preserve">Sekhar A, Vallurupalli P, Kay LE. Defining a length scale for millisecond-timescale protein conformational exchange. Proc Natl Acad Sci U S A 2013;110:11391–6. </w:t>
      </w:r>
    </w:p>
    <w:p w14:paraId="1C6672DB" w14:textId="356071C9" w:rsidR="00C96B8E" w:rsidRDefault="00550FE6" w:rsidP="0012274B">
      <w:pPr>
        <w:pStyle w:val="NormalWeb"/>
        <w:ind w:left="640" w:hanging="640"/>
        <w:divId w:val="638077182"/>
      </w:pPr>
      <w:r w:rsidRPr="00C96B8E">
        <w:rPr>
          <w:rFonts w:ascii="Cambria" w:hAnsi="Cambria"/>
        </w:rPr>
        <w:fldChar w:fldCharType="end"/>
      </w:r>
      <w:r w:rsidR="00C96B8E">
        <w:br w:type="page"/>
      </w:r>
    </w:p>
    <w:tbl>
      <w:tblPr>
        <w:tblW w:w="5052" w:type="pct"/>
        <w:tblLayout w:type="fixed"/>
        <w:tblLook w:val="04A0" w:firstRow="1" w:lastRow="0" w:firstColumn="1" w:lastColumn="0" w:noHBand="0" w:noVBand="1"/>
      </w:tblPr>
      <w:tblGrid>
        <w:gridCol w:w="1008"/>
        <w:gridCol w:w="1278"/>
        <w:gridCol w:w="1333"/>
        <w:gridCol w:w="1333"/>
        <w:gridCol w:w="1335"/>
        <w:gridCol w:w="1333"/>
        <w:gridCol w:w="1328"/>
      </w:tblGrid>
      <w:tr w:rsidR="00CA19E1" w:rsidRPr="00CA19E1" w14:paraId="74D8CECB" w14:textId="77777777" w:rsidTr="00CA19E1">
        <w:trPr>
          <w:trHeight w:val="300"/>
        </w:trPr>
        <w:tc>
          <w:tcPr>
            <w:tcW w:w="563" w:type="pct"/>
            <w:tcBorders>
              <w:left w:val="nil"/>
              <w:bottom w:val="single" w:sz="4" w:space="0" w:color="auto"/>
              <w:right w:val="single" w:sz="4" w:space="0" w:color="auto"/>
            </w:tcBorders>
            <w:shd w:val="clear" w:color="auto" w:fill="auto"/>
            <w:noWrap/>
            <w:vAlign w:val="center"/>
            <w:hideMark/>
          </w:tcPr>
          <w:p w14:paraId="62C2BE75" w14:textId="47840C3D" w:rsidR="00CA19E1" w:rsidRPr="00CA19E1" w:rsidRDefault="00CA19E1" w:rsidP="00CA19E1">
            <w:pPr>
              <w:tabs>
                <w:tab w:val="left" w:pos="450"/>
              </w:tabs>
              <w:jc w:val="center"/>
              <w:rPr>
                <w:rFonts w:ascii="Calibri" w:eastAsia="Times New Roman" w:hAnsi="Calibri" w:cs="Times New Roman"/>
                <w:color w:val="000000"/>
                <w:sz w:val="22"/>
                <w:szCs w:val="22"/>
              </w:rPr>
            </w:pPr>
          </w:p>
        </w:tc>
        <w:tc>
          <w:tcPr>
            <w:tcW w:w="1459" w:type="pct"/>
            <w:gridSpan w:val="2"/>
            <w:tcBorders>
              <w:left w:val="single" w:sz="4" w:space="0" w:color="auto"/>
              <w:bottom w:val="single" w:sz="4" w:space="0" w:color="auto"/>
              <w:right w:val="single" w:sz="4" w:space="0" w:color="auto"/>
            </w:tcBorders>
            <w:shd w:val="clear" w:color="auto" w:fill="auto"/>
            <w:vAlign w:val="center"/>
          </w:tcPr>
          <w:p w14:paraId="44867054" w14:textId="65CAC1A8" w:rsidR="00CA19E1" w:rsidRPr="00CA19E1" w:rsidRDefault="00CA19E1" w:rsidP="00CA19E1">
            <w:pPr>
              <w:jc w:val="center"/>
              <w:rPr>
                <w:rFonts w:ascii="Calibri" w:eastAsia="Times New Roman" w:hAnsi="Calibri" w:cs="Times New Roman"/>
                <w:b/>
                <w:color w:val="000000"/>
                <w:sz w:val="22"/>
                <w:szCs w:val="22"/>
              </w:rPr>
            </w:pPr>
            <w:r w:rsidRPr="00CA19E1">
              <w:rPr>
                <w:rFonts w:ascii="Calibri" w:eastAsia="Times New Roman" w:hAnsi="Calibri" w:cs="Times New Roman"/>
                <w:b/>
                <w:color w:val="000000"/>
                <w:sz w:val="22"/>
                <w:szCs w:val="22"/>
              </w:rPr>
              <w:t>Buffer</w:t>
            </w:r>
          </w:p>
        </w:tc>
        <w:tc>
          <w:tcPr>
            <w:tcW w:w="1491" w:type="pct"/>
            <w:gridSpan w:val="2"/>
            <w:tcBorders>
              <w:left w:val="single" w:sz="4" w:space="0" w:color="auto"/>
              <w:bottom w:val="single" w:sz="4" w:space="0" w:color="auto"/>
              <w:right w:val="single" w:sz="4" w:space="0" w:color="auto"/>
            </w:tcBorders>
            <w:shd w:val="clear" w:color="auto" w:fill="auto"/>
            <w:vAlign w:val="center"/>
          </w:tcPr>
          <w:p w14:paraId="5AB9F7C3" w14:textId="32F2275F" w:rsidR="00CA19E1" w:rsidRPr="00CA19E1" w:rsidRDefault="00CA19E1" w:rsidP="00CA19E1">
            <w:pPr>
              <w:jc w:val="center"/>
              <w:rPr>
                <w:rFonts w:ascii="Calibri" w:eastAsia="Times New Roman" w:hAnsi="Calibri" w:cs="Times New Roman"/>
                <w:b/>
                <w:color w:val="000000"/>
                <w:sz w:val="22"/>
                <w:szCs w:val="22"/>
              </w:rPr>
            </w:pPr>
            <w:r w:rsidRPr="00CA19E1">
              <w:rPr>
                <w:rFonts w:ascii="Calibri" w:eastAsia="Times New Roman" w:hAnsi="Calibri" w:cs="Times New Roman"/>
                <w:b/>
                <w:i/>
                <w:iCs/>
                <w:color w:val="000000"/>
                <w:sz w:val="22"/>
                <w:szCs w:val="22"/>
              </w:rPr>
              <w:t>E. coli</w:t>
            </w:r>
            <w:r w:rsidRPr="00CA19E1">
              <w:rPr>
                <w:rFonts w:ascii="Calibri" w:eastAsia="Times New Roman" w:hAnsi="Calibri" w:cs="Times New Roman"/>
                <w:b/>
                <w:color w:val="000000"/>
                <w:sz w:val="22"/>
                <w:szCs w:val="22"/>
              </w:rPr>
              <w:t xml:space="preserve"> Lysate</w:t>
            </w:r>
          </w:p>
        </w:tc>
        <w:tc>
          <w:tcPr>
            <w:tcW w:w="1487" w:type="pct"/>
            <w:gridSpan w:val="2"/>
            <w:tcBorders>
              <w:left w:val="single" w:sz="4" w:space="0" w:color="auto"/>
              <w:bottom w:val="single" w:sz="4" w:space="0" w:color="auto"/>
              <w:right w:val="nil"/>
            </w:tcBorders>
            <w:shd w:val="clear" w:color="auto" w:fill="auto"/>
            <w:vAlign w:val="center"/>
          </w:tcPr>
          <w:p w14:paraId="0811E28B" w14:textId="1DEA25DD" w:rsidR="00CA19E1" w:rsidRPr="00CA19E1" w:rsidRDefault="00CA19E1" w:rsidP="00CA19E1">
            <w:pPr>
              <w:jc w:val="center"/>
              <w:rPr>
                <w:rFonts w:ascii="Calibri" w:eastAsia="Times New Roman" w:hAnsi="Calibri" w:cs="Times New Roman"/>
                <w:b/>
                <w:color w:val="000000"/>
                <w:sz w:val="22"/>
                <w:szCs w:val="22"/>
              </w:rPr>
            </w:pPr>
            <w:r w:rsidRPr="00CA19E1">
              <w:rPr>
                <w:rFonts w:ascii="Calibri" w:eastAsia="Times New Roman" w:hAnsi="Calibri" w:cs="Times New Roman"/>
                <w:b/>
                <w:i/>
                <w:iCs/>
                <w:color w:val="000000"/>
                <w:sz w:val="22"/>
                <w:szCs w:val="22"/>
              </w:rPr>
              <w:t>S. cerevisiae</w:t>
            </w:r>
            <w:r w:rsidRPr="00CA19E1">
              <w:rPr>
                <w:rFonts w:ascii="Calibri" w:eastAsia="Times New Roman" w:hAnsi="Calibri" w:cs="Times New Roman"/>
                <w:b/>
                <w:color w:val="000000"/>
                <w:sz w:val="22"/>
                <w:szCs w:val="22"/>
              </w:rPr>
              <w:t xml:space="preserve"> Lysate</w:t>
            </w:r>
          </w:p>
        </w:tc>
      </w:tr>
      <w:tr w:rsidR="00CA19E1" w:rsidRPr="00CA19E1" w14:paraId="5A5AAA74" w14:textId="77777777" w:rsidTr="00CA19E1">
        <w:trPr>
          <w:trHeight w:val="300"/>
        </w:trPr>
        <w:tc>
          <w:tcPr>
            <w:tcW w:w="563" w:type="pct"/>
            <w:tcBorders>
              <w:top w:val="single" w:sz="4" w:space="0" w:color="auto"/>
              <w:left w:val="nil"/>
              <w:bottom w:val="single" w:sz="4" w:space="0" w:color="auto"/>
              <w:right w:val="single" w:sz="4" w:space="0" w:color="auto"/>
            </w:tcBorders>
            <w:shd w:val="clear" w:color="auto" w:fill="auto"/>
            <w:noWrap/>
            <w:vAlign w:val="center"/>
            <w:hideMark/>
          </w:tcPr>
          <w:p w14:paraId="3C822ACC" w14:textId="77777777" w:rsidR="00CA19E1" w:rsidRPr="00CA19E1" w:rsidRDefault="00CA19E1" w:rsidP="00CA19E1">
            <w:pPr>
              <w:tabs>
                <w:tab w:val="left" w:pos="450"/>
              </w:tabs>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Residue</w:t>
            </w:r>
          </w:p>
        </w:tc>
        <w:tc>
          <w:tcPr>
            <w:tcW w:w="714" w:type="pct"/>
            <w:tcBorders>
              <w:top w:val="single" w:sz="4" w:space="0" w:color="auto"/>
              <w:left w:val="single" w:sz="4" w:space="0" w:color="auto"/>
              <w:bottom w:val="single" w:sz="4" w:space="0" w:color="auto"/>
              <w:right w:val="nil"/>
            </w:tcBorders>
            <w:shd w:val="clear" w:color="auto" w:fill="auto"/>
            <w:noWrap/>
            <w:vAlign w:val="center"/>
            <w:hideMark/>
          </w:tcPr>
          <w:p w14:paraId="68B0A10F" w14:textId="707DC5AE" w:rsidR="00CA19E1" w:rsidRPr="00CA19E1" w:rsidRDefault="00CA19E1" w:rsidP="00CA19E1">
            <w:pPr>
              <w:jc w:val="center"/>
              <w:rPr>
                <w:rFonts w:ascii="Calibri" w:eastAsia="Times New Roman" w:hAnsi="Calibri" w:cs="Times New Roman"/>
                <w:color w:val="000000"/>
                <w:sz w:val="22"/>
                <w:szCs w:val="22"/>
              </w:rPr>
            </w:pPr>
            <w:r w:rsidRPr="00CA19E1">
              <w:rPr>
                <w:rFonts w:ascii="Symbol" w:eastAsia="Times New Roman" w:hAnsi="Symbol" w:cs="Times New Roman"/>
                <w:color w:val="000000"/>
                <w:sz w:val="22"/>
                <w:szCs w:val="22"/>
              </w:rPr>
              <w:t></w:t>
            </w:r>
            <w:r w:rsidRPr="00CA19E1">
              <w:rPr>
                <w:rFonts w:ascii="Symbol" w:eastAsia="Times New Roman" w:hAnsi="Symbol" w:cs="Times New Roman"/>
                <w:i/>
                <w:color w:val="000000"/>
                <w:sz w:val="22"/>
                <w:szCs w:val="22"/>
              </w:rPr>
              <w:t></w:t>
            </w:r>
            <w:r w:rsidRPr="00CA19E1">
              <w:rPr>
                <w:rFonts w:ascii="Symbol" w:eastAsia="Times New Roman" w:hAnsi="Symbol" w:cs="Times New Roman"/>
                <w:i/>
                <w:color w:val="000000"/>
                <w:sz w:val="22"/>
                <w:szCs w:val="22"/>
              </w:rPr>
              <w:t></w:t>
            </w:r>
            <w:r w:rsidRPr="00CA19E1">
              <w:rPr>
                <w:rFonts w:ascii="Symbol" w:eastAsia="Times New Roman" w:hAnsi="Symbol" w:cs="Times New Roman"/>
                <w:color w:val="000000"/>
                <w:sz w:val="22"/>
                <w:szCs w:val="22"/>
              </w:rPr>
              <w:t></w:t>
            </w:r>
            <w:r w:rsidRPr="00CA19E1">
              <w:rPr>
                <w:rFonts w:ascii="Calibri" w:eastAsia="Times New Roman" w:hAnsi="Calibri" w:cs="Times New Roman"/>
                <w:i/>
                <w:color w:val="000000"/>
                <w:sz w:val="22"/>
                <w:szCs w:val="22"/>
              </w:rPr>
              <w:t xml:space="preserve"> </w:t>
            </w:r>
            <w:r w:rsidRPr="00CA19E1">
              <w:rPr>
                <w:rFonts w:ascii="Calibri" w:eastAsia="Times New Roman" w:hAnsi="Calibri" w:cs="Times New Roman"/>
                <w:i/>
                <w:color w:val="000000"/>
                <w:sz w:val="22"/>
                <w:szCs w:val="22"/>
                <w:vertAlign w:val="superscript"/>
              </w:rPr>
              <w:t>13</w:t>
            </w:r>
            <w:r w:rsidRPr="00CA19E1">
              <w:rPr>
                <w:rFonts w:ascii="Calibri" w:eastAsia="Times New Roman" w:hAnsi="Calibri" w:cs="Times New Roman"/>
                <w:i/>
                <w:color w:val="000000"/>
                <w:sz w:val="22"/>
                <w:szCs w:val="22"/>
              </w:rPr>
              <w:t>C</w:t>
            </w:r>
            <w:r w:rsidRPr="00CA19E1">
              <w:rPr>
                <w:rFonts w:ascii="Calibri" w:eastAsia="Times New Roman" w:hAnsi="Calibri" w:cs="Times New Roman"/>
                <w:color w:val="000000"/>
                <w:sz w:val="22"/>
                <w:szCs w:val="22"/>
              </w:rPr>
              <w:t xml:space="preserve"> (ppm)</w:t>
            </w:r>
          </w:p>
        </w:tc>
        <w:tc>
          <w:tcPr>
            <w:tcW w:w="745" w:type="pct"/>
            <w:tcBorders>
              <w:top w:val="single" w:sz="4" w:space="0" w:color="auto"/>
              <w:left w:val="nil"/>
              <w:bottom w:val="single" w:sz="4" w:space="0" w:color="auto"/>
              <w:right w:val="single" w:sz="4" w:space="0" w:color="auto"/>
            </w:tcBorders>
            <w:shd w:val="clear" w:color="auto" w:fill="auto"/>
            <w:noWrap/>
            <w:vAlign w:val="center"/>
            <w:hideMark/>
          </w:tcPr>
          <w:p w14:paraId="5B1FAB31" w14:textId="06626DDC" w:rsidR="00CA19E1" w:rsidRPr="00CA19E1" w:rsidRDefault="00CA19E1" w:rsidP="00CA19E1">
            <w:pPr>
              <w:jc w:val="center"/>
              <w:rPr>
                <w:rFonts w:ascii="Calibri" w:eastAsia="Times New Roman" w:hAnsi="Calibri" w:cs="Times New Roman"/>
                <w:color w:val="000000"/>
                <w:sz w:val="22"/>
                <w:szCs w:val="22"/>
              </w:rPr>
            </w:pPr>
            <w:r>
              <w:rPr>
                <w:rFonts w:ascii="Symbol" w:eastAsia="Times New Roman" w:hAnsi="Symbol" w:cs="Times New Roman"/>
                <w:color w:val="000000"/>
                <w:sz w:val="22"/>
                <w:szCs w:val="22"/>
              </w:rPr>
              <w:t></w:t>
            </w:r>
            <w:r w:rsidRPr="00CA19E1">
              <w:rPr>
                <w:rFonts w:ascii="Symbol" w:eastAsia="Times New Roman" w:hAnsi="Symbol" w:cs="Times New Roman"/>
                <w:i/>
                <w:color w:val="000000"/>
                <w:sz w:val="22"/>
                <w:szCs w:val="22"/>
              </w:rPr>
              <w:t></w:t>
            </w:r>
            <w:r w:rsidRPr="00CA19E1">
              <w:rPr>
                <w:rFonts w:ascii="Symbol" w:eastAsia="Times New Roman" w:hAnsi="Symbol" w:cs="Times New Roman"/>
                <w:i/>
                <w:color w:val="000000"/>
                <w:sz w:val="22"/>
                <w:szCs w:val="22"/>
              </w:rPr>
              <w:t></w:t>
            </w:r>
            <w:r>
              <w:rPr>
                <w:rFonts w:ascii="Symbol" w:eastAsia="Times New Roman" w:hAnsi="Symbol" w:cs="Times New Roman"/>
                <w:color w:val="000000"/>
                <w:sz w:val="22"/>
                <w:szCs w:val="22"/>
              </w:rPr>
              <w:t></w:t>
            </w:r>
            <w:r w:rsidRPr="00CA19E1">
              <w:rPr>
                <w:rFonts w:ascii="Symbol" w:eastAsia="Times New Roman" w:hAnsi="Symbol" w:cs="Times New Roman"/>
                <w:i/>
                <w:color w:val="000000"/>
                <w:sz w:val="22"/>
                <w:szCs w:val="22"/>
              </w:rPr>
              <w:t></w:t>
            </w:r>
            <w:r w:rsidRPr="00CA19E1">
              <w:rPr>
                <w:rFonts w:ascii="Calibri" w:eastAsia="Times New Roman" w:hAnsi="Calibri" w:cs="Times New Roman"/>
                <w:i/>
                <w:color w:val="000000"/>
                <w:sz w:val="22"/>
                <w:szCs w:val="22"/>
                <w:vertAlign w:val="superscript"/>
              </w:rPr>
              <w:t>1</w:t>
            </w:r>
            <w:r w:rsidRPr="00CA19E1">
              <w:rPr>
                <w:rFonts w:ascii="Calibri" w:eastAsia="Times New Roman" w:hAnsi="Calibri" w:cs="Times New Roman"/>
                <w:i/>
                <w:color w:val="000000"/>
                <w:sz w:val="22"/>
                <w:szCs w:val="22"/>
              </w:rPr>
              <w:t xml:space="preserve">H </w:t>
            </w:r>
            <w:r w:rsidRPr="00CA19E1">
              <w:rPr>
                <w:rFonts w:ascii="Calibri" w:eastAsia="Times New Roman" w:hAnsi="Calibri" w:cs="Times New Roman"/>
                <w:color w:val="000000"/>
                <w:sz w:val="22"/>
                <w:szCs w:val="22"/>
              </w:rPr>
              <w:t>(ppm)</w:t>
            </w:r>
          </w:p>
        </w:tc>
        <w:tc>
          <w:tcPr>
            <w:tcW w:w="745" w:type="pct"/>
            <w:tcBorders>
              <w:top w:val="single" w:sz="4" w:space="0" w:color="auto"/>
              <w:left w:val="single" w:sz="4" w:space="0" w:color="auto"/>
              <w:bottom w:val="single" w:sz="4" w:space="0" w:color="auto"/>
              <w:right w:val="nil"/>
            </w:tcBorders>
            <w:shd w:val="clear" w:color="auto" w:fill="auto"/>
            <w:noWrap/>
            <w:vAlign w:val="center"/>
            <w:hideMark/>
          </w:tcPr>
          <w:p w14:paraId="68F76278" w14:textId="285F306F" w:rsidR="00CA19E1" w:rsidRPr="00CA19E1" w:rsidRDefault="00CA19E1" w:rsidP="00CA19E1">
            <w:pPr>
              <w:jc w:val="center"/>
              <w:rPr>
                <w:rFonts w:ascii="Calibri" w:eastAsia="Times New Roman" w:hAnsi="Calibri" w:cs="Times New Roman"/>
                <w:color w:val="000000"/>
                <w:sz w:val="22"/>
                <w:szCs w:val="22"/>
              </w:rPr>
            </w:pPr>
            <w:r w:rsidRPr="00CA19E1">
              <w:rPr>
                <w:rFonts w:ascii="Symbol" w:eastAsia="Times New Roman" w:hAnsi="Symbol" w:cs="Times New Roman"/>
                <w:color w:val="000000"/>
                <w:sz w:val="22"/>
                <w:szCs w:val="22"/>
              </w:rPr>
              <w:t></w:t>
            </w:r>
            <w:r w:rsidRPr="00CA19E1">
              <w:rPr>
                <w:rFonts w:ascii="Symbol" w:eastAsia="Times New Roman" w:hAnsi="Symbol" w:cs="Times New Roman"/>
                <w:i/>
                <w:color w:val="000000"/>
                <w:sz w:val="22"/>
                <w:szCs w:val="22"/>
              </w:rPr>
              <w:t></w:t>
            </w:r>
            <w:r w:rsidRPr="00CA19E1">
              <w:rPr>
                <w:rFonts w:ascii="Symbol" w:eastAsia="Times New Roman" w:hAnsi="Symbol" w:cs="Times New Roman"/>
                <w:i/>
                <w:color w:val="000000"/>
                <w:sz w:val="22"/>
                <w:szCs w:val="22"/>
              </w:rPr>
              <w:t></w:t>
            </w:r>
            <w:r w:rsidRPr="00CA19E1">
              <w:rPr>
                <w:rFonts w:ascii="Symbol" w:eastAsia="Times New Roman" w:hAnsi="Symbol" w:cs="Times New Roman"/>
                <w:color w:val="000000"/>
                <w:sz w:val="22"/>
                <w:szCs w:val="22"/>
              </w:rPr>
              <w:t></w:t>
            </w:r>
            <w:r w:rsidRPr="00CA19E1">
              <w:rPr>
                <w:rFonts w:ascii="Calibri" w:eastAsia="Times New Roman" w:hAnsi="Calibri" w:cs="Times New Roman"/>
                <w:i/>
                <w:color w:val="000000"/>
                <w:sz w:val="22"/>
                <w:szCs w:val="22"/>
              </w:rPr>
              <w:t xml:space="preserve"> </w:t>
            </w:r>
            <w:r w:rsidRPr="00CA19E1">
              <w:rPr>
                <w:rFonts w:ascii="Calibri" w:eastAsia="Times New Roman" w:hAnsi="Calibri" w:cs="Times New Roman"/>
                <w:i/>
                <w:color w:val="000000"/>
                <w:sz w:val="22"/>
                <w:szCs w:val="22"/>
                <w:vertAlign w:val="superscript"/>
              </w:rPr>
              <w:t>13</w:t>
            </w:r>
            <w:r w:rsidRPr="00CA19E1">
              <w:rPr>
                <w:rFonts w:ascii="Calibri" w:eastAsia="Times New Roman" w:hAnsi="Calibri" w:cs="Times New Roman"/>
                <w:i/>
                <w:color w:val="000000"/>
                <w:sz w:val="22"/>
                <w:szCs w:val="22"/>
              </w:rPr>
              <w:t>C</w:t>
            </w:r>
            <w:r w:rsidRPr="00CA19E1">
              <w:rPr>
                <w:rFonts w:ascii="Calibri" w:eastAsia="Times New Roman" w:hAnsi="Calibri" w:cs="Times New Roman"/>
                <w:color w:val="000000"/>
                <w:sz w:val="22"/>
                <w:szCs w:val="22"/>
              </w:rPr>
              <w:t xml:space="preserve"> (ppm)</w:t>
            </w:r>
          </w:p>
        </w:tc>
        <w:tc>
          <w:tcPr>
            <w:tcW w:w="746" w:type="pct"/>
            <w:tcBorders>
              <w:top w:val="single" w:sz="4" w:space="0" w:color="auto"/>
              <w:left w:val="nil"/>
              <w:bottom w:val="single" w:sz="4" w:space="0" w:color="auto"/>
              <w:right w:val="single" w:sz="4" w:space="0" w:color="auto"/>
            </w:tcBorders>
            <w:shd w:val="clear" w:color="auto" w:fill="auto"/>
            <w:noWrap/>
            <w:vAlign w:val="center"/>
            <w:hideMark/>
          </w:tcPr>
          <w:p w14:paraId="75899678" w14:textId="18FFD6C0" w:rsidR="00CA19E1" w:rsidRPr="00CA19E1" w:rsidRDefault="00CA19E1" w:rsidP="00CA19E1">
            <w:pPr>
              <w:jc w:val="center"/>
              <w:rPr>
                <w:rFonts w:ascii="Calibri" w:eastAsia="Times New Roman" w:hAnsi="Calibri" w:cs="Times New Roman"/>
                <w:color w:val="000000"/>
                <w:sz w:val="22"/>
                <w:szCs w:val="22"/>
              </w:rPr>
            </w:pPr>
            <w:r>
              <w:rPr>
                <w:rFonts w:ascii="Symbol" w:eastAsia="Times New Roman" w:hAnsi="Symbol" w:cs="Times New Roman"/>
                <w:color w:val="000000"/>
                <w:sz w:val="22"/>
                <w:szCs w:val="22"/>
              </w:rPr>
              <w:t></w:t>
            </w:r>
            <w:r w:rsidRPr="00CA19E1">
              <w:rPr>
                <w:rFonts w:ascii="Symbol" w:eastAsia="Times New Roman" w:hAnsi="Symbol" w:cs="Times New Roman"/>
                <w:i/>
                <w:color w:val="000000"/>
                <w:sz w:val="22"/>
                <w:szCs w:val="22"/>
              </w:rPr>
              <w:t></w:t>
            </w:r>
            <w:r w:rsidRPr="00CA19E1">
              <w:rPr>
                <w:rFonts w:ascii="Symbol" w:eastAsia="Times New Roman" w:hAnsi="Symbol" w:cs="Times New Roman"/>
                <w:i/>
                <w:color w:val="000000"/>
                <w:sz w:val="22"/>
                <w:szCs w:val="22"/>
              </w:rPr>
              <w:t></w:t>
            </w:r>
            <w:r>
              <w:rPr>
                <w:rFonts w:ascii="Symbol" w:eastAsia="Times New Roman" w:hAnsi="Symbol" w:cs="Times New Roman"/>
                <w:color w:val="000000"/>
                <w:sz w:val="22"/>
                <w:szCs w:val="22"/>
              </w:rPr>
              <w:t></w:t>
            </w:r>
            <w:r w:rsidRPr="00CA19E1">
              <w:rPr>
                <w:rFonts w:ascii="Symbol" w:eastAsia="Times New Roman" w:hAnsi="Symbol" w:cs="Times New Roman"/>
                <w:i/>
                <w:color w:val="000000"/>
                <w:sz w:val="22"/>
                <w:szCs w:val="22"/>
              </w:rPr>
              <w:t></w:t>
            </w:r>
            <w:r w:rsidRPr="00CA19E1">
              <w:rPr>
                <w:rFonts w:ascii="Calibri" w:eastAsia="Times New Roman" w:hAnsi="Calibri" w:cs="Times New Roman"/>
                <w:i/>
                <w:color w:val="000000"/>
                <w:sz w:val="22"/>
                <w:szCs w:val="22"/>
                <w:vertAlign w:val="superscript"/>
              </w:rPr>
              <w:t>1</w:t>
            </w:r>
            <w:r w:rsidRPr="00CA19E1">
              <w:rPr>
                <w:rFonts w:ascii="Calibri" w:eastAsia="Times New Roman" w:hAnsi="Calibri" w:cs="Times New Roman"/>
                <w:i/>
                <w:color w:val="000000"/>
                <w:sz w:val="22"/>
                <w:szCs w:val="22"/>
              </w:rPr>
              <w:t xml:space="preserve">H </w:t>
            </w:r>
            <w:r w:rsidRPr="00CA19E1">
              <w:rPr>
                <w:rFonts w:ascii="Calibri" w:eastAsia="Times New Roman" w:hAnsi="Calibri" w:cs="Times New Roman"/>
                <w:color w:val="000000"/>
                <w:sz w:val="22"/>
                <w:szCs w:val="22"/>
              </w:rPr>
              <w:t>(ppm)</w:t>
            </w:r>
          </w:p>
        </w:tc>
        <w:tc>
          <w:tcPr>
            <w:tcW w:w="745" w:type="pct"/>
            <w:tcBorders>
              <w:top w:val="single" w:sz="4" w:space="0" w:color="auto"/>
              <w:left w:val="single" w:sz="4" w:space="0" w:color="auto"/>
              <w:bottom w:val="single" w:sz="4" w:space="0" w:color="auto"/>
              <w:right w:val="nil"/>
            </w:tcBorders>
            <w:shd w:val="clear" w:color="auto" w:fill="auto"/>
            <w:noWrap/>
            <w:vAlign w:val="center"/>
            <w:hideMark/>
          </w:tcPr>
          <w:p w14:paraId="3A5E639E" w14:textId="38C4A19C" w:rsidR="00CA19E1" w:rsidRPr="00CA19E1" w:rsidRDefault="00CA19E1" w:rsidP="00CA19E1">
            <w:pPr>
              <w:jc w:val="center"/>
              <w:rPr>
                <w:rFonts w:ascii="Calibri" w:eastAsia="Times New Roman" w:hAnsi="Calibri" w:cs="Times New Roman"/>
                <w:color w:val="000000"/>
                <w:sz w:val="22"/>
                <w:szCs w:val="22"/>
              </w:rPr>
            </w:pPr>
            <w:r w:rsidRPr="00CA19E1">
              <w:rPr>
                <w:rFonts w:ascii="Symbol" w:eastAsia="Times New Roman" w:hAnsi="Symbol" w:cs="Times New Roman"/>
                <w:color w:val="000000"/>
                <w:sz w:val="22"/>
                <w:szCs w:val="22"/>
              </w:rPr>
              <w:t></w:t>
            </w:r>
            <w:r w:rsidRPr="00CA19E1">
              <w:rPr>
                <w:rFonts w:ascii="Symbol" w:eastAsia="Times New Roman" w:hAnsi="Symbol" w:cs="Times New Roman"/>
                <w:i/>
                <w:color w:val="000000"/>
                <w:sz w:val="22"/>
                <w:szCs w:val="22"/>
              </w:rPr>
              <w:t></w:t>
            </w:r>
            <w:r w:rsidRPr="00CA19E1">
              <w:rPr>
                <w:rFonts w:ascii="Symbol" w:eastAsia="Times New Roman" w:hAnsi="Symbol" w:cs="Times New Roman"/>
                <w:i/>
                <w:color w:val="000000"/>
                <w:sz w:val="22"/>
                <w:szCs w:val="22"/>
              </w:rPr>
              <w:t></w:t>
            </w:r>
            <w:r w:rsidRPr="00CA19E1">
              <w:rPr>
                <w:rFonts w:ascii="Symbol" w:eastAsia="Times New Roman" w:hAnsi="Symbol" w:cs="Times New Roman"/>
                <w:color w:val="000000"/>
                <w:sz w:val="22"/>
                <w:szCs w:val="22"/>
              </w:rPr>
              <w:t></w:t>
            </w:r>
            <w:r w:rsidRPr="00CA19E1">
              <w:rPr>
                <w:rFonts w:ascii="Calibri" w:eastAsia="Times New Roman" w:hAnsi="Calibri" w:cs="Times New Roman"/>
                <w:i/>
                <w:color w:val="000000"/>
                <w:sz w:val="22"/>
                <w:szCs w:val="22"/>
              </w:rPr>
              <w:t xml:space="preserve"> </w:t>
            </w:r>
            <w:r w:rsidRPr="00CA19E1">
              <w:rPr>
                <w:rFonts w:ascii="Calibri" w:eastAsia="Times New Roman" w:hAnsi="Calibri" w:cs="Times New Roman"/>
                <w:i/>
                <w:color w:val="000000"/>
                <w:sz w:val="22"/>
                <w:szCs w:val="22"/>
                <w:vertAlign w:val="superscript"/>
              </w:rPr>
              <w:t>13</w:t>
            </w:r>
            <w:r w:rsidRPr="00CA19E1">
              <w:rPr>
                <w:rFonts w:ascii="Calibri" w:eastAsia="Times New Roman" w:hAnsi="Calibri" w:cs="Times New Roman"/>
                <w:i/>
                <w:color w:val="000000"/>
                <w:sz w:val="22"/>
                <w:szCs w:val="22"/>
              </w:rPr>
              <w:t>C</w:t>
            </w:r>
            <w:r w:rsidRPr="00CA19E1">
              <w:rPr>
                <w:rFonts w:ascii="Calibri" w:eastAsia="Times New Roman" w:hAnsi="Calibri" w:cs="Times New Roman"/>
                <w:color w:val="000000"/>
                <w:sz w:val="22"/>
                <w:szCs w:val="22"/>
              </w:rPr>
              <w:t xml:space="preserve"> (ppm)</w:t>
            </w:r>
          </w:p>
        </w:tc>
        <w:tc>
          <w:tcPr>
            <w:tcW w:w="742" w:type="pct"/>
            <w:tcBorders>
              <w:top w:val="single" w:sz="4" w:space="0" w:color="auto"/>
              <w:left w:val="nil"/>
              <w:bottom w:val="single" w:sz="4" w:space="0" w:color="auto"/>
              <w:right w:val="nil"/>
            </w:tcBorders>
            <w:shd w:val="clear" w:color="auto" w:fill="auto"/>
            <w:noWrap/>
            <w:vAlign w:val="center"/>
            <w:hideMark/>
          </w:tcPr>
          <w:p w14:paraId="52207F23" w14:textId="31BDC9F0" w:rsidR="00CA19E1" w:rsidRPr="00CA19E1" w:rsidRDefault="00CA19E1" w:rsidP="00CA19E1">
            <w:pPr>
              <w:jc w:val="center"/>
              <w:rPr>
                <w:rFonts w:ascii="Calibri" w:eastAsia="Times New Roman" w:hAnsi="Calibri" w:cs="Times New Roman"/>
                <w:color w:val="000000"/>
                <w:sz w:val="22"/>
                <w:szCs w:val="22"/>
              </w:rPr>
            </w:pPr>
            <w:r>
              <w:rPr>
                <w:rFonts w:ascii="Symbol" w:eastAsia="Times New Roman" w:hAnsi="Symbol" w:cs="Times New Roman"/>
                <w:color w:val="000000"/>
                <w:sz w:val="22"/>
                <w:szCs w:val="22"/>
              </w:rPr>
              <w:t></w:t>
            </w:r>
            <w:r w:rsidRPr="00CA19E1">
              <w:rPr>
                <w:rFonts w:ascii="Symbol" w:eastAsia="Times New Roman" w:hAnsi="Symbol" w:cs="Times New Roman"/>
                <w:i/>
                <w:color w:val="000000"/>
                <w:sz w:val="22"/>
                <w:szCs w:val="22"/>
              </w:rPr>
              <w:t></w:t>
            </w:r>
            <w:r w:rsidRPr="00CA19E1">
              <w:rPr>
                <w:rFonts w:ascii="Symbol" w:eastAsia="Times New Roman" w:hAnsi="Symbol" w:cs="Times New Roman"/>
                <w:i/>
                <w:color w:val="000000"/>
                <w:sz w:val="22"/>
                <w:szCs w:val="22"/>
              </w:rPr>
              <w:t></w:t>
            </w:r>
            <w:r>
              <w:rPr>
                <w:rFonts w:ascii="Symbol" w:eastAsia="Times New Roman" w:hAnsi="Symbol" w:cs="Times New Roman"/>
                <w:color w:val="000000"/>
                <w:sz w:val="22"/>
                <w:szCs w:val="22"/>
              </w:rPr>
              <w:t></w:t>
            </w:r>
            <w:r w:rsidRPr="00CA19E1">
              <w:rPr>
                <w:rFonts w:ascii="Symbol" w:eastAsia="Times New Roman" w:hAnsi="Symbol" w:cs="Times New Roman"/>
                <w:i/>
                <w:color w:val="000000"/>
                <w:sz w:val="22"/>
                <w:szCs w:val="22"/>
              </w:rPr>
              <w:t></w:t>
            </w:r>
            <w:r w:rsidRPr="00CA19E1">
              <w:rPr>
                <w:rFonts w:ascii="Calibri" w:eastAsia="Times New Roman" w:hAnsi="Calibri" w:cs="Times New Roman"/>
                <w:i/>
                <w:color w:val="000000"/>
                <w:sz w:val="22"/>
                <w:szCs w:val="22"/>
                <w:vertAlign w:val="superscript"/>
              </w:rPr>
              <w:t>1</w:t>
            </w:r>
            <w:r w:rsidRPr="00CA19E1">
              <w:rPr>
                <w:rFonts w:ascii="Calibri" w:eastAsia="Times New Roman" w:hAnsi="Calibri" w:cs="Times New Roman"/>
                <w:i/>
                <w:color w:val="000000"/>
                <w:sz w:val="22"/>
                <w:szCs w:val="22"/>
              </w:rPr>
              <w:t xml:space="preserve">H </w:t>
            </w:r>
            <w:r w:rsidRPr="00CA19E1">
              <w:rPr>
                <w:rFonts w:ascii="Calibri" w:eastAsia="Times New Roman" w:hAnsi="Calibri" w:cs="Times New Roman"/>
                <w:color w:val="000000"/>
                <w:sz w:val="22"/>
                <w:szCs w:val="22"/>
              </w:rPr>
              <w:t>(ppm)</w:t>
            </w:r>
          </w:p>
        </w:tc>
      </w:tr>
      <w:tr w:rsidR="00CA19E1" w:rsidRPr="00CA19E1" w14:paraId="35157058" w14:textId="77777777" w:rsidTr="00CA19E1">
        <w:trPr>
          <w:trHeight w:val="320"/>
        </w:trPr>
        <w:tc>
          <w:tcPr>
            <w:tcW w:w="563" w:type="pct"/>
            <w:tcBorders>
              <w:top w:val="single" w:sz="4" w:space="0" w:color="auto"/>
              <w:left w:val="nil"/>
              <w:bottom w:val="nil"/>
              <w:right w:val="single" w:sz="4" w:space="0" w:color="auto"/>
            </w:tcBorders>
            <w:shd w:val="clear" w:color="auto" w:fill="auto"/>
            <w:noWrap/>
            <w:vAlign w:val="center"/>
            <w:hideMark/>
          </w:tcPr>
          <w:p w14:paraId="634A1D39" w14:textId="77777777" w:rsidR="00CA19E1" w:rsidRPr="00CA19E1" w:rsidRDefault="00CA19E1" w:rsidP="00CA19E1">
            <w:pPr>
              <w:tabs>
                <w:tab w:val="left" w:pos="450"/>
              </w:tabs>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L24</w:t>
            </w:r>
            <w:r w:rsidRPr="00CA19E1">
              <w:rPr>
                <w:rFonts w:ascii="Symbol" w:eastAsia="Times New Roman" w:hAnsi="Symbol" w:cs="Times New Roman"/>
                <w:color w:val="000000"/>
                <w:sz w:val="22"/>
                <w:szCs w:val="22"/>
              </w:rPr>
              <w:t></w:t>
            </w:r>
            <w:r w:rsidRPr="00CA19E1">
              <w:rPr>
                <w:rFonts w:ascii="Calibri" w:eastAsia="Times New Roman" w:hAnsi="Calibri" w:cs="Times New Roman"/>
                <w:color w:val="000000"/>
                <w:sz w:val="22"/>
                <w:szCs w:val="22"/>
              </w:rPr>
              <w:t>1</w:t>
            </w:r>
          </w:p>
        </w:tc>
        <w:tc>
          <w:tcPr>
            <w:tcW w:w="714" w:type="pct"/>
            <w:tcBorders>
              <w:top w:val="single" w:sz="4" w:space="0" w:color="auto"/>
              <w:left w:val="single" w:sz="4" w:space="0" w:color="auto"/>
              <w:bottom w:val="nil"/>
              <w:right w:val="nil"/>
            </w:tcBorders>
            <w:shd w:val="clear" w:color="auto" w:fill="auto"/>
            <w:noWrap/>
            <w:vAlign w:val="center"/>
            <w:hideMark/>
          </w:tcPr>
          <w:p w14:paraId="2D5001EE" w14:textId="0F7E178D"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1.99</w:t>
            </w:r>
            <w:r w:rsidR="00CA19E1" w:rsidRPr="00CA19E1">
              <w:rPr>
                <w:rFonts w:ascii="Calibri" w:eastAsia="Times New Roman" w:hAnsi="Calibri" w:cs="Times New Roman"/>
                <w:color w:val="000000"/>
                <w:sz w:val="22"/>
                <w:szCs w:val="22"/>
              </w:rPr>
              <w:t xml:space="preserve"> ± 0.05</w:t>
            </w:r>
          </w:p>
        </w:tc>
        <w:tc>
          <w:tcPr>
            <w:tcW w:w="745" w:type="pct"/>
            <w:tcBorders>
              <w:top w:val="single" w:sz="4" w:space="0" w:color="auto"/>
              <w:left w:val="nil"/>
              <w:bottom w:val="nil"/>
              <w:right w:val="single" w:sz="4" w:space="0" w:color="auto"/>
            </w:tcBorders>
            <w:shd w:val="clear" w:color="auto" w:fill="auto"/>
            <w:noWrap/>
            <w:vAlign w:val="center"/>
            <w:hideMark/>
          </w:tcPr>
          <w:p w14:paraId="7166C25A" w14:textId="2E786BEE"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0.15 ± 0.01</w:t>
            </w:r>
          </w:p>
        </w:tc>
        <w:tc>
          <w:tcPr>
            <w:tcW w:w="745" w:type="pct"/>
            <w:tcBorders>
              <w:top w:val="single" w:sz="4" w:space="0" w:color="auto"/>
              <w:left w:val="single" w:sz="4" w:space="0" w:color="auto"/>
              <w:bottom w:val="nil"/>
              <w:right w:val="nil"/>
            </w:tcBorders>
            <w:shd w:val="clear" w:color="auto" w:fill="auto"/>
            <w:noWrap/>
            <w:vAlign w:val="center"/>
            <w:hideMark/>
          </w:tcPr>
          <w:p w14:paraId="0E3AEE0F" w14:textId="3444FD5D"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2.21</w:t>
            </w:r>
            <w:r w:rsidR="00CA19E1" w:rsidRPr="00CA19E1">
              <w:rPr>
                <w:rFonts w:ascii="Calibri" w:eastAsia="Times New Roman" w:hAnsi="Calibri" w:cs="Times New Roman"/>
                <w:color w:val="000000"/>
                <w:sz w:val="22"/>
                <w:szCs w:val="22"/>
              </w:rPr>
              <w:t xml:space="preserve"> ± 0.21</w:t>
            </w:r>
          </w:p>
        </w:tc>
        <w:tc>
          <w:tcPr>
            <w:tcW w:w="746" w:type="pct"/>
            <w:tcBorders>
              <w:top w:val="single" w:sz="4" w:space="0" w:color="auto"/>
              <w:left w:val="nil"/>
              <w:bottom w:val="nil"/>
              <w:right w:val="single" w:sz="4" w:space="0" w:color="auto"/>
            </w:tcBorders>
            <w:shd w:val="clear" w:color="auto" w:fill="auto"/>
            <w:noWrap/>
            <w:vAlign w:val="center"/>
            <w:hideMark/>
          </w:tcPr>
          <w:p w14:paraId="05CB7691" w14:textId="3C53F71F"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0.14</w:t>
            </w:r>
            <w:r w:rsidR="00CA19E1" w:rsidRPr="00CA19E1">
              <w:rPr>
                <w:rFonts w:ascii="Calibri" w:eastAsia="Times New Roman" w:hAnsi="Calibri" w:cs="Times New Roman"/>
                <w:color w:val="000000"/>
                <w:sz w:val="22"/>
                <w:szCs w:val="22"/>
              </w:rPr>
              <w:t xml:space="preserve"> ± 0.0</w:t>
            </w:r>
            <w:r>
              <w:rPr>
                <w:rFonts w:ascii="Calibri" w:eastAsia="Times New Roman" w:hAnsi="Calibri" w:cs="Times New Roman"/>
                <w:color w:val="000000"/>
                <w:sz w:val="22"/>
                <w:szCs w:val="22"/>
              </w:rPr>
              <w:t>1</w:t>
            </w:r>
          </w:p>
        </w:tc>
        <w:tc>
          <w:tcPr>
            <w:tcW w:w="745" w:type="pct"/>
            <w:tcBorders>
              <w:top w:val="single" w:sz="4" w:space="0" w:color="auto"/>
              <w:left w:val="single" w:sz="4" w:space="0" w:color="auto"/>
              <w:bottom w:val="nil"/>
              <w:right w:val="nil"/>
            </w:tcBorders>
            <w:shd w:val="clear" w:color="auto" w:fill="auto"/>
            <w:noWrap/>
            <w:vAlign w:val="center"/>
            <w:hideMark/>
          </w:tcPr>
          <w:p w14:paraId="6990463B"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2" w:type="pct"/>
            <w:tcBorders>
              <w:top w:val="single" w:sz="4" w:space="0" w:color="auto"/>
              <w:left w:val="nil"/>
              <w:bottom w:val="nil"/>
              <w:right w:val="nil"/>
            </w:tcBorders>
            <w:shd w:val="clear" w:color="auto" w:fill="auto"/>
            <w:noWrap/>
            <w:vAlign w:val="center"/>
            <w:hideMark/>
          </w:tcPr>
          <w:p w14:paraId="5EE3300E"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r>
      <w:tr w:rsidR="00CA19E1" w:rsidRPr="00CA19E1" w14:paraId="44375189" w14:textId="77777777" w:rsidTr="00CA19E1">
        <w:trPr>
          <w:trHeight w:val="320"/>
        </w:trPr>
        <w:tc>
          <w:tcPr>
            <w:tcW w:w="563" w:type="pct"/>
            <w:tcBorders>
              <w:top w:val="nil"/>
              <w:left w:val="nil"/>
              <w:bottom w:val="nil"/>
              <w:right w:val="single" w:sz="4" w:space="0" w:color="auto"/>
            </w:tcBorders>
            <w:shd w:val="clear" w:color="auto" w:fill="auto"/>
            <w:noWrap/>
            <w:vAlign w:val="center"/>
            <w:hideMark/>
          </w:tcPr>
          <w:p w14:paraId="1283B564" w14:textId="77777777" w:rsidR="00CA19E1" w:rsidRPr="00CA19E1" w:rsidRDefault="00CA19E1" w:rsidP="00CA19E1">
            <w:pPr>
              <w:tabs>
                <w:tab w:val="left" w:pos="450"/>
              </w:tabs>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L24</w:t>
            </w:r>
            <w:r w:rsidRPr="00CA19E1">
              <w:rPr>
                <w:rFonts w:ascii="Symbol" w:eastAsia="Times New Roman" w:hAnsi="Symbol" w:cs="Times New Roman"/>
                <w:color w:val="000000"/>
                <w:sz w:val="22"/>
                <w:szCs w:val="22"/>
              </w:rPr>
              <w:t></w:t>
            </w:r>
            <w:r w:rsidRPr="00CA19E1">
              <w:rPr>
                <w:rFonts w:ascii="Calibri" w:eastAsia="Times New Roman" w:hAnsi="Calibri" w:cs="Times New Roman"/>
                <w:color w:val="000000"/>
                <w:sz w:val="22"/>
                <w:szCs w:val="22"/>
              </w:rPr>
              <w:t>2</w:t>
            </w:r>
          </w:p>
        </w:tc>
        <w:tc>
          <w:tcPr>
            <w:tcW w:w="714" w:type="pct"/>
            <w:tcBorders>
              <w:top w:val="nil"/>
              <w:left w:val="single" w:sz="4" w:space="0" w:color="auto"/>
              <w:bottom w:val="nil"/>
              <w:right w:val="nil"/>
            </w:tcBorders>
            <w:shd w:val="clear" w:color="auto" w:fill="auto"/>
            <w:noWrap/>
            <w:vAlign w:val="center"/>
            <w:hideMark/>
          </w:tcPr>
          <w:p w14:paraId="61D27380" w14:textId="28D0BBAE"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0.52</w:t>
            </w:r>
            <w:r w:rsidR="00CA19E1" w:rsidRPr="00CA19E1">
              <w:rPr>
                <w:rFonts w:ascii="Calibri" w:eastAsia="Times New Roman" w:hAnsi="Calibri" w:cs="Times New Roman"/>
                <w:color w:val="000000"/>
                <w:sz w:val="22"/>
                <w:szCs w:val="22"/>
              </w:rPr>
              <w:t xml:space="preserve"> ± 0.0</w:t>
            </w:r>
            <w:r>
              <w:rPr>
                <w:rFonts w:ascii="Calibri" w:eastAsia="Times New Roman" w:hAnsi="Calibri" w:cs="Times New Roman"/>
                <w:color w:val="000000"/>
                <w:sz w:val="22"/>
                <w:szCs w:val="22"/>
              </w:rPr>
              <w:t>2</w:t>
            </w:r>
          </w:p>
        </w:tc>
        <w:tc>
          <w:tcPr>
            <w:tcW w:w="745" w:type="pct"/>
            <w:tcBorders>
              <w:top w:val="nil"/>
              <w:left w:val="nil"/>
              <w:bottom w:val="nil"/>
              <w:right w:val="single" w:sz="4" w:space="0" w:color="auto"/>
            </w:tcBorders>
            <w:shd w:val="clear" w:color="auto" w:fill="auto"/>
            <w:noWrap/>
            <w:vAlign w:val="center"/>
            <w:hideMark/>
          </w:tcPr>
          <w:p w14:paraId="61A5DBDA"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5" w:type="pct"/>
            <w:tcBorders>
              <w:top w:val="nil"/>
              <w:left w:val="single" w:sz="4" w:space="0" w:color="auto"/>
              <w:bottom w:val="nil"/>
              <w:right w:val="nil"/>
            </w:tcBorders>
            <w:shd w:val="clear" w:color="auto" w:fill="auto"/>
            <w:noWrap/>
            <w:vAlign w:val="center"/>
            <w:hideMark/>
          </w:tcPr>
          <w:p w14:paraId="32F018AE" w14:textId="575EFD3F"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0.81</w:t>
            </w:r>
            <w:r w:rsidR="00CA19E1" w:rsidRPr="00CA19E1">
              <w:rPr>
                <w:rFonts w:ascii="Calibri" w:eastAsia="Times New Roman" w:hAnsi="Calibri" w:cs="Times New Roman"/>
                <w:color w:val="000000"/>
                <w:sz w:val="22"/>
                <w:szCs w:val="22"/>
              </w:rPr>
              <w:t xml:space="preserve"> ± 0.04</w:t>
            </w:r>
          </w:p>
        </w:tc>
        <w:tc>
          <w:tcPr>
            <w:tcW w:w="746" w:type="pct"/>
            <w:tcBorders>
              <w:top w:val="nil"/>
              <w:left w:val="nil"/>
              <w:bottom w:val="nil"/>
              <w:right w:val="single" w:sz="4" w:space="0" w:color="auto"/>
            </w:tcBorders>
            <w:shd w:val="clear" w:color="auto" w:fill="auto"/>
            <w:noWrap/>
            <w:vAlign w:val="center"/>
            <w:hideMark/>
          </w:tcPr>
          <w:p w14:paraId="3FEFA6EC" w14:textId="27C39961"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0.21</w:t>
            </w:r>
            <w:r w:rsidR="00CA19E1" w:rsidRPr="00CA19E1">
              <w:rPr>
                <w:rFonts w:ascii="Calibri" w:eastAsia="Times New Roman" w:hAnsi="Calibri" w:cs="Times New Roman"/>
                <w:color w:val="000000"/>
                <w:sz w:val="22"/>
                <w:szCs w:val="22"/>
              </w:rPr>
              <w:t xml:space="preserve"> ± 0.0</w:t>
            </w:r>
            <w:r>
              <w:rPr>
                <w:rFonts w:ascii="Calibri" w:eastAsia="Times New Roman" w:hAnsi="Calibri" w:cs="Times New Roman"/>
                <w:color w:val="000000"/>
                <w:sz w:val="22"/>
                <w:szCs w:val="22"/>
              </w:rPr>
              <w:t>1</w:t>
            </w:r>
          </w:p>
        </w:tc>
        <w:tc>
          <w:tcPr>
            <w:tcW w:w="745" w:type="pct"/>
            <w:tcBorders>
              <w:top w:val="nil"/>
              <w:left w:val="single" w:sz="4" w:space="0" w:color="auto"/>
              <w:bottom w:val="nil"/>
              <w:right w:val="nil"/>
            </w:tcBorders>
            <w:shd w:val="clear" w:color="auto" w:fill="auto"/>
            <w:noWrap/>
            <w:vAlign w:val="center"/>
            <w:hideMark/>
          </w:tcPr>
          <w:p w14:paraId="67E39229" w14:textId="06776427"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0.94</w:t>
            </w:r>
            <w:r w:rsidR="00CA19E1" w:rsidRPr="00CA19E1">
              <w:rPr>
                <w:rFonts w:ascii="Calibri" w:eastAsia="Times New Roman" w:hAnsi="Calibri" w:cs="Times New Roman"/>
                <w:color w:val="000000"/>
                <w:sz w:val="22"/>
                <w:szCs w:val="22"/>
              </w:rPr>
              <w:t xml:space="preserve"> ± 0.1</w:t>
            </w:r>
            <w:r>
              <w:rPr>
                <w:rFonts w:ascii="Calibri" w:eastAsia="Times New Roman" w:hAnsi="Calibri" w:cs="Times New Roman"/>
                <w:color w:val="000000"/>
                <w:sz w:val="22"/>
                <w:szCs w:val="22"/>
              </w:rPr>
              <w:t>4</w:t>
            </w:r>
          </w:p>
        </w:tc>
        <w:tc>
          <w:tcPr>
            <w:tcW w:w="742" w:type="pct"/>
            <w:tcBorders>
              <w:top w:val="nil"/>
              <w:left w:val="nil"/>
              <w:bottom w:val="nil"/>
              <w:right w:val="nil"/>
            </w:tcBorders>
            <w:shd w:val="clear" w:color="auto" w:fill="auto"/>
            <w:noWrap/>
            <w:vAlign w:val="center"/>
            <w:hideMark/>
          </w:tcPr>
          <w:p w14:paraId="206B145A"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r>
      <w:tr w:rsidR="00CA19E1" w:rsidRPr="00CA19E1" w14:paraId="01791A7C" w14:textId="77777777" w:rsidTr="00CA19E1">
        <w:trPr>
          <w:trHeight w:val="320"/>
        </w:trPr>
        <w:tc>
          <w:tcPr>
            <w:tcW w:w="563" w:type="pct"/>
            <w:tcBorders>
              <w:top w:val="nil"/>
              <w:left w:val="nil"/>
              <w:bottom w:val="nil"/>
              <w:right w:val="single" w:sz="4" w:space="0" w:color="auto"/>
            </w:tcBorders>
            <w:shd w:val="clear" w:color="auto" w:fill="auto"/>
            <w:noWrap/>
            <w:vAlign w:val="center"/>
            <w:hideMark/>
          </w:tcPr>
          <w:p w14:paraId="193FD6B4" w14:textId="77777777" w:rsidR="00CA19E1" w:rsidRPr="00CA19E1" w:rsidRDefault="00CA19E1" w:rsidP="00CA19E1">
            <w:pPr>
              <w:tabs>
                <w:tab w:val="left" w:pos="450"/>
              </w:tabs>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L25</w:t>
            </w:r>
            <w:r w:rsidRPr="00CA19E1">
              <w:rPr>
                <w:rFonts w:ascii="Symbol" w:eastAsia="Times New Roman" w:hAnsi="Symbol" w:cs="Times New Roman"/>
                <w:color w:val="000000"/>
                <w:sz w:val="22"/>
                <w:szCs w:val="22"/>
              </w:rPr>
              <w:t></w:t>
            </w:r>
            <w:r w:rsidRPr="00CA19E1">
              <w:rPr>
                <w:rFonts w:ascii="Calibri" w:eastAsia="Times New Roman" w:hAnsi="Calibri" w:cs="Times New Roman"/>
                <w:color w:val="000000"/>
                <w:sz w:val="22"/>
                <w:szCs w:val="22"/>
              </w:rPr>
              <w:t>1</w:t>
            </w:r>
          </w:p>
        </w:tc>
        <w:tc>
          <w:tcPr>
            <w:tcW w:w="714" w:type="pct"/>
            <w:tcBorders>
              <w:top w:val="nil"/>
              <w:left w:val="single" w:sz="4" w:space="0" w:color="auto"/>
              <w:bottom w:val="nil"/>
              <w:right w:val="nil"/>
            </w:tcBorders>
            <w:shd w:val="clear" w:color="auto" w:fill="auto"/>
            <w:noWrap/>
            <w:vAlign w:val="center"/>
            <w:hideMark/>
          </w:tcPr>
          <w:p w14:paraId="411C7A60" w14:textId="56E754B5"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1.69 ± 0.04</w:t>
            </w:r>
          </w:p>
        </w:tc>
        <w:tc>
          <w:tcPr>
            <w:tcW w:w="745" w:type="pct"/>
            <w:tcBorders>
              <w:top w:val="nil"/>
              <w:left w:val="nil"/>
              <w:bottom w:val="nil"/>
              <w:right w:val="single" w:sz="4" w:space="0" w:color="auto"/>
            </w:tcBorders>
            <w:shd w:val="clear" w:color="auto" w:fill="auto"/>
            <w:noWrap/>
            <w:vAlign w:val="center"/>
            <w:hideMark/>
          </w:tcPr>
          <w:p w14:paraId="7C8F9D8C" w14:textId="23D1E1EB"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0.22 ± 0.01</w:t>
            </w:r>
          </w:p>
        </w:tc>
        <w:tc>
          <w:tcPr>
            <w:tcW w:w="745" w:type="pct"/>
            <w:tcBorders>
              <w:top w:val="nil"/>
              <w:left w:val="single" w:sz="4" w:space="0" w:color="auto"/>
              <w:bottom w:val="nil"/>
              <w:right w:val="nil"/>
            </w:tcBorders>
            <w:shd w:val="clear" w:color="auto" w:fill="auto"/>
            <w:noWrap/>
            <w:vAlign w:val="center"/>
            <w:hideMark/>
          </w:tcPr>
          <w:p w14:paraId="2C9BFA8C" w14:textId="6457DA92"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1.95</w:t>
            </w:r>
            <w:r w:rsidR="00CA19E1" w:rsidRPr="00CA19E1">
              <w:rPr>
                <w:rFonts w:ascii="Calibri" w:eastAsia="Times New Roman" w:hAnsi="Calibri" w:cs="Times New Roman"/>
                <w:color w:val="000000"/>
                <w:sz w:val="22"/>
                <w:szCs w:val="22"/>
              </w:rPr>
              <w:t xml:space="preserve"> ± 0.2</w:t>
            </w:r>
            <w:r>
              <w:rPr>
                <w:rFonts w:ascii="Calibri" w:eastAsia="Times New Roman" w:hAnsi="Calibri" w:cs="Times New Roman"/>
                <w:color w:val="000000"/>
                <w:sz w:val="22"/>
                <w:szCs w:val="22"/>
              </w:rPr>
              <w:t>3</w:t>
            </w:r>
          </w:p>
        </w:tc>
        <w:tc>
          <w:tcPr>
            <w:tcW w:w="746" w:type="pct"/>
            <w:tcBorders>
              <w:top w:val="nil"/>
              <w:left w:val="nil"/>
              <w:bottom w:val="nil"/>
              <w:right w:val="single" w:sz="4" w:space="0" w:color="auto"/>
            </w:tcBorders>
            <w:shd w:val="clear" w:color="auto" w:fill="auto"/>
            <w:noWrap/>
            <w:vAlign w:val="center"/>
            <w:hideMark/>
          </w:tcPr>
          <w:p w14:paraId="76E79BE8"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5" w:type="pct"/>
            <w:tcBorders>
              <w:top w:val="nil"/>
              <w:left w:val="single" w:sz="4" w:space="0" w:color="auto"/>
              <w:bottom w:val="nil"/>
              <w:right w:val="nil"/>
            </w:tcBorders>
            <w:shd w:val="clear" w:color="auto" w:fill="auto"/>
            <w:noWrap/>
            <w:vAlign w:val="center"/>
            <w:hideMark/>
          </w:tcPr>
          <w:p w14:paraId="2E550553" w14:textId="30E379DB"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1.98</w:t>
            </w:r>
            <w:r w:rsidR="00CA19E1" w:rsidRPr="00CA19E1">
              <w:rPr>
                <w:rFonts w:ascii="Calibri" w:eastAsia="Times New Roman" w:hAnsi="Calibri" w:cs="Times New Roman"/>
                <w:color w:val="000000"/>
                <w:sz w:val="22"/>
                <w:szCs w:val="22"/>
              </w:rPr>
              <w:t xml:space="preserve"> ± 0.26</w:t>
            </w:r>
          </w:p>
        </w:tc>
        <w:tc>
          <w:tcPr>
            <w:tcW w:w="742" w:type="pct"/>
            <w:tcBorders>
              <w:top w:val="nil"/>
              <w:left w:val="nil"/>
              <w:bottom w:val="nil"/>
              <w:right w:val="nil"/>
            </w:tcBorders>
            <w:shd w:val="clear" w:color="auto" w:fill="auto"/>
            <w:noWrap/>
            <w:vAlign w:val="center"/>
            <w:hideMark/>
          </w:tcPr>
          <w:p w14:paraId="0EBA0651"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r>
      <w:tr w:rsidR="00CA19E1" w:rsidRPr="00CA19E1" w14:paraId="7F4F8341" w14:textId="77777777" w:rsidTr="00CA19E1">
        <w:trPr>
          <w:trHeight w:val="320"/>
        </w:trPr>
        <w:tc>
          <w:tcPr>
            <w:tcW w:w="563" w:type="pct"/>
            <w:tcBorders>
              <w:top w:val="nil"/>
              <w:left w:val="nil"/>
              <w:bottom w:val="nil"/>
              <w:right w:val="single" w:sz="4" w:space="0" w:color="auto"/>
            </w:tcBorders>
            <w:shd w:val="clear" w:color="auto" w:fill="auto"/>
            <w:noWrap/>
            <w:vAlign w:val="center"/>
            <w:hideMark/>
          </w:tcPr>
          <w:p w14:paraId="1DF9BA9A" w14:textId="77777777" w:rsidR="00CA19E1" w:rsidRPr="00CA19E1" w:rsidRDefault="00CA19E1" w:rsidP="00CA19E1">
            <w:pPr>
              <w:tabs>
                <w:tab w:val="left" w:pos="450"/>
              </w:tabs>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L25</w:t>
            </w:r>
            <w:r w:rsidRPr="00CA19E1">
              <w:rPr>
                <w:rFonts w:ascii="Symbol" w:eastAsia="Times New Roman" w:hAnsi="Symbol" w:cs="Times New Roman"/>
                <w:color w:val="000000"/>
                <w:sz w:val="22"/>
                <w:szCs w:val="22"/>
              </w:rPr>
              <w:t></w:t>
            </w:r>
            <w:r w:rsidRPr="00CA19E1">
              <w:rPr>
                <w:rFonts w:ascii="Calibri" w:eastAsia="Times New Roman" w:hAnsi="Calibri" w:cs="Times New Roman"/>
                <w:color w:val="000000"/>
                <w:sz w:val="22"/>
                <w:szCs w:val="22"/>
              </w:rPr>
              <w:t>2</w:t>
            </w:r>
          </w:p>
        </w:tc>
        <w:tc>
          <w:tcPr>
            <w:tcW w:w="714" w:type="pct"/>
            <w:tcBorders>
              <w:top w:val="nil"/>
              <w:left w:val="single" w:sz="4" w:space="0" w:color="auto"/>
              <w:bottom w:val="nil"/>
              <w:right w:val="nil"/>
            </w:tcBorders>
            <w:shd w:val="clear" w:color="auto" w:fill="auto"/>
            <w:noWrap/>
            <w:vAlign w:val="center"/>
            <w:hideMark/>
          </w:tcPr>
          <w:p w14:paraId="1078583A" w14:textId="04A98DA2"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0.96</w:t>
            </w:r>
            <w:r w:rsidR="00CA19E1" w:rsidRPr="00CA19E1">
              <w:rPr>
                <w:rFonts w:ascii="Calibri" w:eastAsia="Times New Roman" w:hAnsi="Calibri" w:cs="Times New Roman"/>
                <w:color w:val="000000"/>
                <w:sz w:val="22"/>
                <w:szCs w:val="22"/>
              </w:rPr>
              <w:t xml:space="preserve"> ± 0.0</w:t>
            </w:r>
            <w:r>
              <w:rPr>
                <w:rFonts w:ascii="Calibri" w:eastAsia="Times New Roman" w:hAnsi="Calibri" w:cs="Times New Roman"/>
                <w:color w:val="000000"/>
                <w:sz w:val="22"/>
                <w:szCs w:val="22"/>
              </w:rPr>
              <w:t>2</w:t>
            </w:r>
          </w:p>
        </w:tc>
        <w:tc>
          <w:tcPr>
            <w:tcW w:w="745" w:type="pct"/>
            <w:tcBorders>
              <w:top w:val="nil"/>
              <w:left w:val="nil"/>
              <w:bottom w:val="nil"/>
              <w:right w:val="single" w:sz="4" w:space="0" w:color="auto"/>
            </w:tcBorders>
            <w:shd w:val="clear" w:color="auto" w:fill="auto"/>
            <w:noWrap/>
            <w:vAlign w:val="center"/>
            <w:hideMark/>
          </w:tcPr>
          <w:p w14:paraId="73DD6379"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5" w:type="pct"/>
            <w:tcBorders>
              <w:top w:val="nil"/>
              <w:left w:val="single" w:sz="4" w:space="0" w:color="auto"/>
              <w:bottom w:val="nil"/>
              <w:right w:val="nil"/>
            </w:tcBorders>
            <w:shd w:val="clear" w:color="auto" w:fill="auto"/>
            <w:noWrap/>
            <w:vAlign w:val="center"/>
            <w:hideMark/>
          </w:tcPr>
          <w:p w14:paraId="0F3E1C92" w14:textId="674218FB"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1.01</w:t>
            </w:r>
            <w:r w:rsidR="00CA19E1" w:rsidRPr="00CA19E1">
              <w:rPr>
                <w:rFonts w:ascii="Calibri" w:eastAsia="Times New Roman" w:hAnsi="Calibri" w:cs="Times New Roman"/>
                <w:color w:val="000000"/>
                <w:sz w:val="22"/>
                <w:szCs w:val="22"/>
              </w:rPr>
              <w:t xml:space="preserve"> ± 0.0</w:t>
            </w:r>
            <w:r>
              <w:rPr>
                <w:rFonts w:ascii="Calibri" w:eastAsia="Times New Roman" w:hAnsi="Calibri" w:cs="Times New Roman"/>
                <w:color w:val="000000"/>
                <w:sz w:val="22"/>
                <w:szCs w:val="22"/>
              </w:rPr>
              <w:t>5</w:t>
            </w:r>
          </w:p>
        </w:tc>
        <w:tc>
          <w:tcPr>
            <w:tcW w:w="746" w:type="pct"/>
            <w:tcBorders>
              <w:top w:val="nil"/>
              <w:left w:val="nil"/>
              <w:bottom w:val="nil"/>
              <w:right w:val="single" w:sz="4" w:space="0" w:color="auto"/>
            </w:tcBorders>
            <w:shd w:val="clear" w:color="auto" w:fill="auto"/>
            <w:noWrap/>
            <w:vAlign w:val="center"/>
            <w:hideMark/>
          </w:tcPr>
          <w:p w14:paraId="5CDAD5CB"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5" w:type="pct"/>
            <w:tcBorders>
              <w:top w:val="nil"/>
              <w:left w:val="single" w:sz="4" w:space="0" w:color="auto"/>
              <w:bottom w:val="nil"/>
              <w:right w:val="nil"/>
            </w:tcBorders>
            <w:shd w:val="clear" w:color="auto" w:fill="auto"/>
            <w:noWrap/>
            <w:vAlign w:val="center"/>
            <w:hideMark/>
          </w:tcPr>
          <w:p w14:paraId="5248B4E5" w14:textId="5C649541"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1.067 ± 0.10</w:t>
            </w:r>
          </w:p>
        </w:tc>
        <w:tc>
          <w:tcPr>
            <w:tcW w:w="742" w:type="pct"/>
            <w:tcBorders>
              <w:top w:val="nil"/>
              <w:left w:val="nil"/>
              <w:bottom w:val="nil"/>
              <w:right w:val="nil"/>
            </w:tcBorders>
            <w:shd w:val="clear" w:color="auto" w:fill="auto"/>
            <w:noWrap/>
            <w:vAlign w:val="center"/>
            <w:hideMark/>
          </w:tcPr>
          <w:p w14:paraId="4A50A176"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r>
      <w:tr w:rsidR="00CA19E1" w:rsidRPr="00CA19E1" w14:paraId="25659567" w14:textId="77777777" w:rsidTr="00CA19E1">
        <w:trPr>
          <w:trHeight w:val="320"/>
        </w:trPr>
        <w:tc>
          <w:tcPr>
            <w:tcW w:w="563" w:type="pct"/>
            <w:tcBorders>
              <w:top w:val="nil"/>
              <w:left w:val="nil"/>
              <w:bottom w:val="nil"/>
              <w:right w:val="single" w:sz="4" w:space="0" w:color="auto"/>
            </w:tcBorders>
            <w:shd w:val="clear" w:color="auto" w:fill="auto"/>
            <w:noWrap/>
            <w:vAlign w:val="center"/>
            <w:hideMark/>
          </w:tcPr>
          <w:p w14:paraId="286B58A4" w14:textId="77777777" w:rsidR="00CA19E1" w:rsidRPr="00CA19E1" w:rsidRDefault="00CA19E1" w:rsidP="00CA19E1">
            <w:pPr>
              <w:tabs>
                <w:tab w:val="left" w:pos="450"/>
              </w:tabs>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V30</w:t>
            </w:r>
            <w:r w:rsidRPr="00CA19E1">
              <w:rPr>
                <w:rFonts w:ascii="Symbol" w:eastAsia="Times New Roman" w:hAnsi="Symbol" w:cs="Times New Roman"/>
                <w:color w:val="000000"/>
                <w:sz w:val="22"/>
                <w:szCs w:val="22"/>
              </w:rPr>
              <w:t></w:t>
            </w:r>
            <w:r w:rsidRPr="00CA19E1">
              <w:rPr>
                <w:rFonts w:ascii="Calibri" w:eastAsia="Times New Roman" w:hAnsi="Calibri" w:cs="Times New Roman"/>
                <w:color w:val="000000"/>
                <w:sz w:val="22"/>
                <w:szCs w:val="22"/>
              </w:rPr>
              <w:t>1</w:t>
            </w:r>
          </w:p>
        </w:tc>
        <w:tc>
          <w:tcPr>
            <w:tcW w:w="714" w:type="pct"/>
            <w:tcBorders>
              <w:top w:val="nil"/>
              <w:left w:val="single" w:sz="4" w:space="0" w:color="auto"/>
              <w:bottom w:val="nil"/>
              <w:right w:val="nil"/>
            </w:tcBorders>
            <w:shd w:val="clear" w:color="auto" w:fill="auto"/>
            <w:noWrap/>
            <w:vAlign w:val="center"/>
            <w:hideMark/>
          </w:tcPr>
          <w:p w14:paraId="39344127"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5" w:type="pct"/>
            <w:tcBorders>
              <w:top w:val="nil"/>
              <w:left w:val="nil"/>
              <w:bottom w:val="nil"/>
              <w:right w:val="single" w:sz="4" w:space="0" w:color="auto"/>
            </w:tcBorders>
            <w:shd w:val="clear" w:color="auto" w:fill="auto"/>
            <w:noWrap/>
            <w:vAlign w:val="center"/>
            <w:hideMark/>
          </w:tcPr>
          <w:p w14:paraId="24B44A23" w14:textId="750B40A6"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0.18</w:t>
            </w:r>
            <w:r w:rsidR="00CA19E1" w:rsidRPr="00CA19E1">
              <w:rPr>
                <w:rFonts w:ascii="Calibri" w:eastAsia="Times New Roman" w:hAnsi="Calibri" w:cs="Times New Roman"/>
                <w:color w:val="000000"/>
                <w:sz w:val="22"/>
                <w:szCs w:val="22"/>
              </w:rPr>
              <w:t xml:space="preserve"> ± 0.0</w:t>
            </w:r>
            <w:r>
              <w:rPr>
                <w:rFonts w:ascii="Calibri" w:eastAsia="Times New Roman" w:hAnsi="Calibri" w:cs="Times New Roman"/>
                <w:color w:val="000000"/>
                <w:sz w:val="22"/>
                <w:szCs w:val="22"/>
              </w:rPr>
              <w:t>1</w:t>
            </w:r>
          </w:p>
        </w:tc>
        <w:tc>
          <w:tcPr>
            <w:tcW w:w="745" w:type="pct"/>
            <w:tcBorders>
              <w:top w:val="nil"/>
              <w:left w:val="single" w:sz="4" w:space="0" w:color="auto"/>
              <w:bottom w:val="nil"/>
              <w:right w:val="nil"/>
            </w:tcBorders>
            <w:shd w:val="clear" w:color="auto" w:fill="auto"/>
            <w:noWrap/>
            <w:vAlign w:val="center"/>
            <w:hideMark/>
          </w:tcPr>
          <w:p w14:paraId="338CF9CE"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6" w:type="pct"/>
            <w:tcBorders>
              <w:top w:val="nil"/>
              <w:left w:val="nil"/>
              <w:bottom w:val="nil"/>
              <w:right w:val="single" w:sz="4" w:space="0" w:color="auto"/>
            </w:tcBorders>
            <w:shd w:val="clear" w:color="auto" w:fill="auto"/>
            <w:noWrap/>
            <w:vAlign w:val="center"/>
            <w:hideMark/>
          </w:tcPr>
          <w:p w14:paraId="42582C8D" w14:textId="3A13D294"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0.20</w:t>
            </w:r>
            <w:r w:rsidR="00CA19E1" w:rsidRPr="00CA19E1">
              <w:rPr>
                <w:rFonts w:ascii="Calibri" w:eastAsia="Times New Roman" w:hAnsi="Calibri" w:cs="Times New Roman"/>
                <w:color w:val="000000"/>
                <w:sz w:val="22"/>
                <w:szCs w:val="22"/>
              </w:rPr>
              <w:t xml:space="preserve"> ± 0.0</w:t>
            </w:r>
            <w:r>
              <w:rPr>
                <w:rFonts w:ascii="Calibri" w:eastAsia="Times New Roman" w:hAnsi="Calibri" w:cs="Times New Roman"/>
                <w:color w:val="000000"/>
                <w:sz w:val="22"/>
                <w:szCs w:val="22"/>
              </w:rPr>
              <w:t>1</w:t>
            </w:r>
          </w:p>
        </w:tc>
        <w:tc>
          <w:tcPr>
            <w:tcW w:w="745" w:type="pct"/>
            <w:tcBorders>
              <w:top w:val="nil"/>
              <w:left w:val="single" w:sz="4" w:space="0" w:color="auto"/>
              <w:bottom w:val="nil"/>
              <w:right w:val="nil"/>
            </w:tcBorders>
            <w:shd w:val="clear" w:color="auto" w:fill="auto"/>
            <w:noWrap/>
            <w:vAlign w:val="center"/>
            <w:hideMark/>
          </w:tcPr>
          <w:p w14:paraId="4BB1F976"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2" w:type="pct"/>
            <w:tcBorders>
              <w:top w:val="nil"/>
              <w:left w:val="nil"/>
              <w:bottom w:val="nil"/>
              <w:right w:val="nil"/>
            </w:tcBorders>
            <w:shd w:val="clear" w:color="auto" w:fill="auto"/>
            <w:noWrap/>
            <w:vAlign w:val="center"/>
            <w:hideMark/>
          </w:tcPr>
          <w:p w14:paraId="05BBEE5A"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r>
      <w:tr w:rsidR="00CA19E1" w:rsidRPr="00CA19E1" w14:paraId="33588FAD" w14:textId="77777777" w:rsidTr="00CA19E1">
        <w:trPr>
          <w:trHeight w:val="320"/>
        </w:trPr>
        <w:tc>
          <w:tcPr>
            <w:tcW w:w="563" w:type="pct"/>
            <w:tcBorders>
              <w:top w:val="nil"/>
              <w:left w:val="nil"/>
              <w:bottom w:val="nil"/>
              <w:right w:val="single" w:sz="4" w:space="0" w:color="auto"/>
            </w:tcBorders>
            <w:shd w:val="clear" w:color="auto" w:fill="auto"/>
            <w:noWrap/>
            <w:vAlign w:val="center"/>
            <w:hideMark/>
          </w:tcPr>
          <w:p w14:paraId="45215E91" w14:textId="77777777" w:rsidR="00CA19E1" w:rsidRPr="00CA19E1" w:rsidRDefault="00CA19E1" w:rsidP="00CA19E1">
            <w:pPr>
              <w:tabs>
                <w:tab w:val="left" w:pos="450"/>
              </w:tabs>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V30</w:t>
            </w:r>
            <w:r w:rsidRPr="00CA19E1">
              <w:rPr>
                <w:rFonts w:ascii="Symbol" w:eastAsia="Times New Roman" w:hAnsi="Symbol" w:cs="Times New Roman"/>
                <w:color w:val="000000"/>
                <w:sz w:val="22"/>
                <w:szCs w:val="22"/>
              </w:rPr>
              <w:t></w:t>
            </w:r>
            <w:r w:rsidRPr="00CA19E1">
              <w:rPr>
                <w:rFonts w:ascii="Calibri" w:eastAsia="Times New Roman" w:hAnsi="Calibri" w:cs="Times New Roman"/>
                <w:color w:val="000000"/>
                <w:sz w:val="22"/>
                <w:szCs w:val="22"/>
              </w:rPr>
              <w:t>2</w:t>
            </w:r>
          </w:p>
        </w:tc>
        <w:tc>
          <w:tcPr>
            <w:tcW w:w="714" w:type="pct"/>
            <w:tcBorders>
              <w:top w:val="nil"/>
              <w:left w:val="single" w:sz="4" w:space="0" w:color="auto"/>
              <w:bottom w:val="nil"/>
              <w:right w:val="nil"/>
            </w:tcBorders>
            <w:shd w:val="clear" w:color="auto" w:fill="auto"/>
            <w:noWrap/>
            <w:vAlign w:val="center"/>
            <w:hideMark/>
          </w:tcPr>
          <w:p w14:paraId="2C35CBD3" w14:textId="3E1FEB11"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1.46</w:t>
            </w:r>
            <w:r w:rsidR="00CA19E1" w:rsidRPr="00CA19E1">
              <w:rPr>
                <w:rFonts w:ascii="Calibri" w:eastAsia="Times New Roman" w:hAnsi="Calibri" w:cs="Times New Roman"/>
                <w:color w:val="000000"/>
                <w:sz w:val="22"/>
                <w:szCs w:val="22"/>
              </w:rPr>
              <w:t xml:space="preserve"> ± 0.0</w:t>
            </w:r>
            <w:r>
              <w:rPr>
                <w:rFonts w:ascii="Calibri" w:eastAsia="Times New Roman" w:hAnsi="Calibri" w:cs="Times New Roman"/>
                <w:color w:val="000000"/>
                <w:sz w:val="22"/>
                <w:szCs w:val="22"/>
              </w:rPr>
              <w:t>3</w:t>
            </w:r>
          </w:p>
        </w:tc>
        <w:tc>
          <w:tcPr>
            <w:tcW w:w="745" w:type="pct"/>
            <w:tcBorders>
              <w:top w:val="nil"/>
              <w:left w:val="nil"/>
              <w:bottom w:val="nil"/>
              <w:right w:val="single" w:sz="4" w:space="0" w:color="auto"/>
            </w:tcBorders>
            <w:shd w:val="clear" w:color="auto" w:fill="auto"/>
            <w:noWrap/>
            <w:vAlign w:val="center"/>
            <w:hideMark/>
          </w:tcPr>
          <w:p w14:paraId="26D92DC1" w14:textId="0E44EBF4"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0.12 ± 0.01</w:t>
            </w:r>
          </w:p>
        </w:tc>
        <w:tc>
          <w:tcPr>
            <w:tcW w:w="745" w:type="pct"/>
            <w:tcBorders>
              <w:top w:val="nil"/>
              <w:left w:val="single" w:sz="4" w:space="0" w:color="auto"/>
              <w:bottom w:val="nil"/>
              <w:right w:val="nil"/>
            </w:tcBorders>
            <w:shd w:val="clear" w:color="auto" w:fill="auto"/>
            <w:noWrap/>
            <w:vAlign w:val="center"/>
            <w:hideMark/>
          </w:tcPr>
          <w:p w14:paraId="74BCFF41" w14:textId="580304C1"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1.60</w:t>
            </w:r>
            <w:r w:rsidR="00CA19E1" w:rsidRPr="00CA19E1">
              <w:rPr>
                <w:rFonts w:ascii="Calibri" w:eastAsia="Times New Roman" w:hAnsi="Calibri" w:cs="Times New Roman"/>
                <w:color w:val="000000"/>
                <w:sz w:val="22"/>
                <w:szCs w:val="22"/>
              </w:rPr>
              <w:t xml:space="preserve"> ± 0.12</w:t>
            </w:r>
          </w:p>
        </w:tc>
        <w:tc>
          <w:tcPr>
            <w:tcW w:w="746" w:type="pct"/>
            <w:tcBorders>
              <w:top w:val="nil"/>
              <w:left w:val="nil"/>
              <w:bottom w:val="nil"/>
              <w:right w:val="single" w:sz="4" w:space="0" w:color="auto"/>
            </w:tcBorders>
            <w:shd w:val="clear" w:color="auto" w:fill="auto"/>
            <w:noWrap/>
            <w:vAlign w:val="center"/>
            <w:hideMark/>
          </w:tcPr>
          <w:p w14:paraId="11995F05" w14:textId="7B5055B1"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0.14</w:t>
            </w:r>
            <w:r w:rsidR="00CA19E1" w:rsidRPr="00CA19E1">
              <w:rPr>
                <w:rFonts w:ascii="Calibri" w:eastAsia="Times New Roman" w:hAnsi="Calibri" w:cs="Times New Roman"/>
                <w:color w:val="000000"/>
                <w:sz w:val="22"/>
                <w:szCs w:val="22"/>
              </w:rPr>
              <w:t xml:space="preserve"> ± 0.0</w:t>
            </w:r>
            <w:r>
              <w:rPr>
                <w:rFonts w:ascii="Calibri" w:eastAsia="Times New Roman" w:hAnsi="Calibri" w:cs="Times New Roman"/>
                <w:color w:val="000000"/>
                <w:sz w:val="22"/>
                <w:szCs w:val="22"/>
              </w:rPr>
              <w:t>1</w:t>
            </w:r>
          </w:p>
        </w:tc>
        <w:tc>
          <w:tcPr>
            <w:tcW w:w="745" w:type="pct"/>
            <w:tcBorders>
              <w:top w:val="nil"/>
              <w:left w:val="single" w:sz="4" w:space="0" w:color="auto"/>
              <w:bottom w:val="nil"/>
              <w:right w:val="nil"/>
            </w:tcBorders>
            <w:shd w:val="clear" w:color="auto" w:fill="auto"/>
            <w:noWrap/>
            <w:vAlign w:val="center"/>
            <w:hideMark/>
          </w:tcPr>
          <w:p w14:paraId="43DF06C7" w14:textId="0D21F79A"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1.83 ± 0.31</w:t>
            </w:r>
          </w:p>
        </w:tc>
        <w:tc>
          <w:tcPr>
            <w:tcW w:w="742" w:type="pct"/>
            <w:tcBorders>
              <w:top w:val="nil"/>
              <w:left w:val="nil"/>
              <w:bottom w:val="nil"/>
              <w:right w:val="nil"/>
            </w:tcBorders>
            <w:shd w:val="clear" w:color="auto" w:fill="auto"/>
            <w:noWrap/>
            <w:vAlign w:val="center"/>
            <w:hideMark/>
          </w:tcPr>
          <w:p w14:paraId="5E13D077"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r>
      <w:tr w:rsidR="00CA19E1" w:rsidRPr="00CA19E1" w14:paraId="3FE58656" w14:textId="77777777" w:rsidTr="00CA19E1">
        <w:trPr>
          <w:trHeight w:val="320"/>
        </w:trPr>
        <w:tc>
          <w:tcPr>
            <w:tcW w:w="563" w:type="pct"/>
            <w:tcBorders>
              <w:top w:val="nil"/>
              <w:left w:val="nil"/>
              <w:bottom w:val="nil"/>
              <w:right w:val="single" w:sz="4" w:space="0" w:color="auto"/>
            </w:tcBorders>
            <w:shd w:val="clear" w:color="auto" w:fill="auto"/>
            <w:noWrap/>
            <w:vAlign w:val="center"/>
            <w:hideMark/>
          </w:tcPr>
          <w:p w14:paraId="678CA41B" w14:textId="77777777" w:rsidR="00CA19E1" w:rsidRPr="00CA19E1" w:rsidRDefault="00CA19E1" w:rsidP="00CA19E1">
            <w:pPr>
              <w:tabs>
                <w:tab w:val="left" w:pos="450"/>
              </w:tabs>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I43</w:t>
            </w:r>
            <w:r w:rsidRPr="00CA19E1">
              <w:rPr>
                <w:rFonts w:ascii="Symbol" w:eastAsia="Times New Roman" w:hAnsi="Symbol" w:cs="Times New Roman"/>
                <w:color w:val="000000"/>
                <w:sz w:val="22"/>
                <w:szCs w:val="22"/>
              </w:rPr>
              <w:t></w:t>
            </w:r>
            <w:r w:rsidRPr="00CA19E1">
              <w:rPr>
                <w:rFonts w:ascii="Calibri" w:eastAsia="Times New Roman" w:hAnsi="Calibri" w:cs="Times New Roman"/>
                <w:color w:val="000000"/>
                <w:sz w:val="22"/>
                <w:szCs w:val="22"/>
              </w:rPr>
              <w:t>1</w:t>
            </w:r>
          </w:p>
        </w:tc>
        <w:tc>
          <w:tcPr>
            <w:tcW w:w="714" w:type="pct"/>
            <w:tcBorders>
              <w:top w:val="nil"/>
              <w:left w:val="single" w:sz="4" w:space="0" w:color="auto"/>
              <w:bottom w:val="nil"/>
              <w:right w:val="nil"/>
            </w:tcBorders>
            <w:shd w:val="clear" w:color="auto" w:fill="auto"/>
            <w:noWrap/>
            <w:vAlign w:val="center"/>
            <w:hideMark/>
          </w:tcPr>
          <w:p w14:paraId="19808BDC"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5" w:type="pct"/>
            <w:tcBorders>
              <w:top w:val="nil"/>
              <w:left w:val="nil"/>
              <w:bottom w:val="nil"/>
              <w:right w:val="single" w:sz="4" w:space="0" w:color="auto"/>
            </w:tcBorders>
            <w:shd w:val="clear" w:color="auto" w:fill="auto"/>
            <w:noWrap/>
            <w:vAlign w:val="center"/>
            <w:hideMark/>
          </w:tcPr>
          <w:p w14:paraId="7382278C"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5" w:type="pct"/>
            <w:tcBorders>
              <w:top w:val="nil"/>
              <w:left w:val="single" w:sz="4" w:space="0" w:color="auto"/>
              <w:bottom w:val="nil"/>
              <w:right w:val="nil"/>
            </w:tcBorders>
            <w:shd w:val="clear" w:color="auto" w:fill="auto"/>
            <w:noWrap/>
            <w:vAlign w:val="center"/>
            <w:hideMark/>
          </w:tcPr>
          <w:p w14:paraId="633421A4"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6" w:type="pct"/>
            <w:tcBorders>
              <w:top w:val="nil"/>
              <w:left w:val="nil"/>
              <w:bottom w:val="nil"/>
              <w:right w:val="single" w:sz="4" w:space="0" w:color="auto"/>
            </w:tcBorders>
            <w:shd w:val="clear" w:color="auto" w:fill="auto"/>
            <w:noWrap/>
            <w:vAlign w:val="center"/>
            <w:hideMark/>
          </w:tcPr>
          <w:p w14:paraId="61FB6D1D"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5" w:type="pct"/>
            <w:tcBorders>
              <w:top w:val="nil"/>
              <w:left w:val="single" w:sz="4" w:space="0" w:color="auto"/>
              <w:bottom w:val="nil"/>
              <w:right w:val="nil"/>
            </w:tcBorders>
            <w:shd w:val="clear" w:color="auto" w:fill="auto"/>
            <w:noWrap/>
            <w:vAlign w:val="center"/>
            <w:hideMark/>
          </w:tcPr>
          <w:p w14:paraId="0595D7E4"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2" w:type="pct"/>
            <w:tcBorders>
              <w:top w:val="nil"/>
              <w:left w:val="nil"/>
              <w:bottom w:val="nil"/>
              <w:right w:val="nil"/>
            </w:tcBorders>
            <w:shd w:val="clear" w:color="auto" w:fill="auto"/>
            <w:noWrap/>
            <w:vAlign w:val="center"/>
            <w:hideMark/>
          </w:tcPr>
          <w:p w14:paraId="6087FDF3"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r>
      <w:tr w:rsidR="00CA19E1" w:rsidRPr="00CA19E1" w14:paraId="74F2F74B" w14:textId="77777777" w:rsidTr="00CA19E1">
        <w:trPr>
          <w:trHeight w:val="320"/>
        </w:trPr>
        <w:tc>
          <w:tcPr>
            <w:tcW w:w="563" w:type="pct"/>
            <w:tcBorders>
              <w:top w:val="nil"/>
              <w:left w:val="nil"/>
              <w:bottom w:val="nil"/>
              <w:right w:val="single" w:sz="4" w:space="0" w:color="auto"/>
            </w:tcBorders>
            <w:shd w:val="clear" w:color="auto" w:fill="auto"/>
            <w:noWrap/>
            <w:vAlign w:val="center"/>
            <w:hideMark/>
          </w:tcPr>
          <w:p w14:paraId="635F76B1" w14:textId="77777777" w:rsidR="00CA19E1" w:rsidRPr="00CA19E1" w:rsidRDefault="00CA19E1" w:rsidP="00CA19E1">
            <w:pPr>
              <w:tabs>
                <w:tab w:val="left" w:pos="450"/>
              </w:tabs>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I44</w:t>
            </w:r>
            <w:r w:rsidRPr="00CA19E1">
              <w:rPr>
                <w:rFonts w:ascii="Symbol" w:eastAsia="Times New Roman" w:hAnsi="Symbol" w:cs="Times New Roman"/>
                <w:color w:val="000000"/>
                <w:sz w:val="22"/>
                <w:szCs w:val="22"/>
              </w:rPr>
              <w:t></w:t>
            </w:r>
            <w:r w:rsidRPr="00CA19E1">
              <w:rPr>
                <w:rFonts w:ascii="Calibri" w:eastAsia="Times New Roman" w:hAnsi="Calibri" w:cs="Times New Roman"/>
                <w:color w:val="000000"/>
                <w:sz w:val="22"/>
                <w:szCs w:val="22"/>
              </w:rPr>
              <w:t>1</w:t>
            </w:r>
          </w:p>
        </w:tc>
        <w:tc>
          <w:tcPr>
            <w:tcW w:w="714" w:type="pct"/>
            <w:tcBorders>
              <w:top w:val="nil"/>
              <w:left w:val="single" w:sz="4" w:space="0" w:color="auto"/>
              <w:bottom w:val="nil"/>
              <w:right w:val="nil"/>
            </w:tcBorders>
            <w:shd w:val="clear" w:color="auto" w:fill="auto"/>
            <w:noWrap/>
            <w:vAlign w:val="center"/>
            <w:hideMark/>
          </w:tcPr>
          <w:p w14:paraId="60596241" w14:textId="3E41FF8A"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0.89 ± 0.02</w:t>
            </w:r>
          </w:p>
        </w:tc>
        <w:tc>
          <w:tcPr>
            <w:tcW w:w="745" w:type="pct"/>
            <w:tcBorders>
              <w:top w:val="nil"/>
              <w:left w:val="nil"/>
              <w:bottom w:val="nil"/>
              <w:right w:val="single" w:sz="4" w:space="0" w:color="auto"/>
            </w:tcBorders>
            <w:shd w:val="clear" w:color="auto" w:fill="auto"/>
            <w:noWrap/>
            <w:vAlign w:val="center"/>
            <w:hideMark/>
          </w:tcPr>
          <w:p w14:paraId="601B3E6A" w14:textId="1F19C9C1"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0.11 ± 0.01</w:t>
            </w:r>
          </w:p>
        </w:tc>
        <w:tc>
          <w:tcPr>
            <w:tcW w:w="745" w:type="pct"/>
            <w:tcBorders>
              <w:top w:val="nil"/>
              <w:left w:val="single" w:sz="4" w:space="0" w:color="auto"/>
              <w:bottom w:val="nil"/>
              <w:right w:val="nil"/>
            </w:tcBorders>
            <w:shd w:val="clear" w:color="auto" w:fill="auto"/>
            <w:noWrap/>
            <w:vAlign w:val="center"/>
            <w:hideMark/>
          </w:tcPr>
          <w:p w14:paraId="10364A71" w14:textId="20CF9A4B"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1.04</w:t>
            </w:r>
            <w:r w:rsidR="00CA19E1" w:rsidRPr="00CA19E1">
              <w:rPr>
                <w:rFonts w:ascii="Calibri" w:eastAsia="Times New Roman" w:hAnsi="Calibri" w:cs="Times New Roman"/>
                <w:color w:val="000000"/>
                <w:sz w:val="22"/>
                <w:szCs w:val="22"/>
              </w:rPr>
              <w:t xml:space="preserve"> ± 0.0</w:t>
            </w:r>
            <w:r>
              <w:rPr>
                <w:rFonts w:ascii="Calibri" w:eastAsia="Times New Roman" w:hAnsi="Calibri" w:cs="Times New Roman"/>
                <w:color w:val="000000"/>
                <w:sz w:val="22"/>
                <w:szCs w:val="22"/>
              </w:rPr>
              <w:t>4</w:t>
            </w:r>
          </w:p>
        </w:tc>
        <w:tc>
          <w:tcPr>
            <w:tcW w:w="746" w:type="pct"/>
            <w:tcBorders>
              <w:top w:val="nil"/>
              <w:left w:val="nil"/>
              <w:bottom w:val="nil"/>
              <w:right w:val="single" w:sz="4" w:space="0" w:color="auto"/>
            </w:tcBorders>
            <w:shd w:val="clear" w:color="auto" w:fill="auto"/>
            <w:noWrap/>
            <w:vAlign w:val="center"/>
            <w:hideMark/>
          </w:tcPr>
          <w:p w14:paraId="0DD2940A" w14:textId="6A2FD4DE"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0.14</w:t>
            </w:r>
            <w:r w:rsidR="00CA19E1" w:rsidRPr="00CA19E1">
              <w:rPr>
                <w:rFonts w:ascii="Calibri" w:eastAsia="Times New Roman" w:hAnsi="Calibri" w:cs="Times New Roman"/>
                <w:color w:val="000000"/>
                <w:sz w:val="22"/>
                <w:szCs w:val="22"/>
              </w:rPr>
              <w:t xml:space="preserve"> ± 0.0</w:t>
            </w:r>
            <w:r>
              <w:rPr>
                <w:rFonts w:ascii="Calibri" w:eastAsia="Times New Roman" w:hAnsi="Calibri" w:cs="Times New Roman"/>
                <w:color w:val="000000"/>
                <w:sz w:val="22"/>
                <w:szCs w:val="22"/>
              </w:rPr>
              <w:t>1</w:t>
            </w:r>
          </w:p>
        </w:tc>
        <w:tc>
          <w:tcPr>
            <w:tcW w:w="745" w:type="pct"/>
            <w:tcBorders>
              <w:top w:val="nil"/>
              <w:left w:val="single" w:sz="4" w:space="0" w:color="auto"/>
              <w:bottom w:val="nil"/>
              <w:right w:val="nil"/>
            </w:tcBorders>
            <w:shd w:val="clear" w:color="auto" w:fill="auto"/>
            <w:noWrap/>
            <w:vAlign w:val="center"/>
            <w:hideMark/>
          </w:tcPr>
          <w:p w14:paraId="628605F1" w14:textId="506FCA83"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0.95</w:t>
            </w:r>
            <w:r w:rsidR="00CA19E1" w:rsidRPr="00CA19E1">
              <w:rPr>
                <w:rFonts w:ascii="Calibri" w:eastAsia="Times New Roman" w:hAnsi="Calibri" w:cs="Times New Roman"/>
                <w:color w:val="000000"/>
                <w:sz w:val="22"/>
                <w:szCs w:val="22"/>
              </w:rPr>
              <w:t xml:space="preserve"> ± 0.05</w:t>
            </w:r>
          </w:p>
        </w:tc>
        <w:tc>
          <w:tcPr>
            <w:tcW w:w="742" w:type="pct"/>
            <w:tcBorders>
              <w:top w:val="nil"/>
              <w:left w:val="nil"/>
              <w:bottom w:val="nil"/>
              <w:right w:val="nil"/>
            </w:tcBorders>
            <w:shd w:val="clear" w:color="auto" w:fill="auto"/>
            <w:noWrap/>
            <w:vAlign w:val="center"/>
            <w:hideMark/>
          </w:tcPr>
          <w:p w14:paraId="4A9EE53D" w14:textId="42CE2F69"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0.15</w:t>
            </w:r>
            <w:r w:rsidR="00CA19E1" w:rsidRPr="00CA19E1">
              <w:rPr>
                <w:rFonts w:ascii="Calibri" w:eastAsia="Times New Roman" w:hAnsi="Calibri" w:cs="Times New Roman"/>
                <w:color w:val="000000"/>
                <w:sz w:val="22"/>
                <w:szCs w:val="22"/>
              </w:rPr>
              <w:t xml:space="preserve"> ± 0.0</w:t>
            </w:r>
            <w:r>
              <w:rPr>
                <w:rFonts w:ascii="Calibri" w:eastAsia="Times New Roman" w:hAnsi="Calibri" w:cs="Times New Roman"/>
                <w:color w:val="000000"/>
                <w:sz w:val="22"/>
                <w:szCs w:val="22"/>
              </w:rPr>
              <w:t>3</w:t>
            </w:r>
          </w:p>
        </w:tc>
      </w:tr>
      <w:tr w:rsidR="00CA19E1" w:rsidRPr="00CA19E1" w14:paraId="46962DE0" w14:textId="77777777" w:rsidTr="00CA19E1">
        <w:trPr>
          <w:trHeight w:val="320"/>
        </w:trPr>
        <w:tc>
          <w:tcPr>
            <w:tcW w:w="563" w:type="pct"/>
            <w:tcBorders>
              <w:top w:val="nil"/>
              <w:left w:val="nil"/>
              <w:bottom w:val="nil"/>
              <w:right w:val="single" w:sz="4" w:space="0" w:color="auto"/>
            </w:tcBorders>
            <w:shd w:val="clear" w:color="auto" w:fill="auto"/>
            <w:noWrap/>
            <w:vAlign w:val="center"/>
            <w:hideMark/>
          </w:tcPr>
          <w:p w14:paraId="2805E39F" w14:textId="77777777" w:rsidR="00CA19E1" w:rsidRPr="00CA19E1" w:rsidRDefault="00CA19E1" w:rsidP="00CA19E1">
            <w:pPr>
              <w:tabs>
                <w:tab w:val="left" w:pos="450"/>
              </w:tabs>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M40</w:t>
            </w:r>
            <w:r w:rsidRPr="00CA19E1">
              <w:rPr>
                <w:rFonts w:ascii="Symbol" w:eastAsia="Times New Roman" w:hAnsi="Symbol" w:cs="Times New Roman"/>
                <w:color w:val="000000"/>
                <w:sz w:val="22"/>
                <w:szCs w:val="22"/>
              </w:rPr>
              <w:t></w:t>
            </w:r>
          </w:p>
        </w:tc>
        <w:tc>
          <w:tcPr>
            <w:tcW w:w="714" w:type="pct"/>
            <w:tcBorders>
              <w:top w:val="nil"/>
              <w:left w:val="single" w:sz="4" w:space="0" w:color="auto"/>
              <w:bottom w:val="nil"/>
              <w:right w:val="nil"/>
            </w:tcBorders>
            <w:shd w:val="clear" w:color="auto" w:fill="auto"/>
            <w:noWrap/>
            <w:vAlign w:val="center"/>
            <w:hideMark/>
          </w:tcPr>
          <w:p w14:paraId="04FA097B"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5" w:type="pct"/>
            <w:tcBorders>
              <w:top w:val="nil"/>
              <w:left w:val="nil"/>
              <w:bottom w:val="nil"/>
              <w:right w:val="single" w:sz="4" w:space="0" w:color="auto"/>
            </w:tcBorders>
            <w:shd w:val="clear" w:color="auto" w:fill="auto"/>
            <w:noWrap/>
            <w:vAlign w:val="center"/>
            <w:hideMark/>
          </w:tcPr>
          <w:p w14:paraId="074A6870"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5" w:type="pct"/>
            <w:tcBorders>
              <w:top w:val="nil"/>
              <w:left w:val="single" w:sz="4" w:space="0" w:color="auto"/>
              <w:bottom w:val="nil"/>
              <w:right w:val="nil"/>
            </w:tcBorders>
            <w:shd w:val="clear" w:color="auto" w:fill="auto"/>
            <w:noWrap/>
            <w:vAlign w:val="center"/>
            <w:hideMark/>
          </w:tcPr>
          <w:p w14:paraId="4C953F5E"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6" w:type="pct"/>
            <w:tcBorders>
              <w:top w:val="nil"/>
              <w:left w:val="nil"/>
              <w:bottom w:val="nil"/>
              <w:right w:val="single" w:sz="4" w:space="0" w:color="auto"/>
            </w:tcBorders>
            <w:shd w:val="clear" w:color="auto" w:fill="auto"/>
            <w:noWrap/>
            <w:vAlign w:val="center"/>
            <w:hideMark/>
          </w:tcPr>
          <w:p w14:paraId="14ACD936" w14:textId="2BC78D27"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0.30</w:t>
            </w:r>
            <w:r w:rsidR="00CA19E1" w:rsidRPr="00CA19E1">
              <w:rPr>
                <w:rFonts w:ascii="Calibri" w:eastAsia="Times New Roman" w:hAnsi="Calibri" w:cs="Times New Roman"/>
                <w:color w:val="000000"/>
                <w:sz w:val="22"/>
                <w:szCs w:val="22"/>
              </w:rPr>
              <w:t xml:space="preserve"> ± 0.0</w:t>
            </w:r>
            <w:r>
              <w:rPr>
                <w:rFonts w:ascii="Calibri" w:eastAsia="Times New Roman" w:hAnsi="Calibri" w:cs="Times New Roman"/>
                <w:color w:val="000000"/>
                <w:sz w:val="22"/>
                <w:szCs w:val="22"/>
              </w:rPr>
              <w:t>1</w:t>
            </w:r>
          </w:p>
        </w:tc>
        <w:tc>
          <w:tcPr>
            <w:tcW w:w="745" w:type="pct"/>
            <w:tcBorders>
              <w:top w:val="nil"/>
              <w:left w:val="single" w:sz="4" w:space="0" w:color="auto"/>
              <w:bottom w:val="nil"/>
              <w:right w:val="nil"/>
            </w:tcBorders>
            <w:shd w:val="clear" w:color="auto" w:fill="auto"/>
            <w:noWrap/>
            <w:vAlign w:val="center"/>
            <w:hideMark/>
          </w:tcPr>
          <w:p w14:paraId="46159AD9"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2" w:type="pct"/>
            <w:tcBorders>
              <w:top w:val="nil"/>
              <w:left w:val="nil"/>
              <w:bottom w:val="nil"/>
              <w:right w:val="nil"/>
            </w:tcBorders>
            <w:shd w:val="clear" w:color="auto" w:fill="auto"/>
            <w:noWrap/>
            <w:vAlign w:val="center"/>
            <w:hideMark/>
          </w:tcPr>
          <w:p w14:paraId="45E25372" w14:textId="4A63A9BA"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0.35</w:t>
            </w:r>
            <w:r w:rsidR="00CA19E1" w:rsidRPr="00CA19E1">
              <w:rPr>
                <w:rFonts w:ascii="Calibri" w:eastAsia="Times New Roman" w:hAnsi="Calibri" w:cs="Times New Roman"/>
                <w:color w:val="000000"/>
                <w:sz w:val="22"/>
                <w:szCs w:val="22"/>
              </w:rPr>
              <w:t xml:space="preserve"> ± 0.03</w:t>
            </w:r>
          </w:p>
        </w:tc>
      </w:tr>
      <w:tr w:rsidR="00CA19E1" w:rsidRPr="00CA19E1" w14:paraId="4BC080F3" w14:textId="77777777" w:rsidTr="00CA19E1">
        <w:trPr>
          <w:trHeight w:val="320"/>
        </w:trPr>
        <w:tc>
          <w:tcPr>
            <w:tcW w:w="563" w:type="pct"/>
            <w:tcBorders>
              <w:top w:val="nil"/>
              <w:left w:val="nil"/>
              <w:bottom w:val="nil"/>
              <w:right w:val="single" w:sz="4" w:space="0" w:color="auto"/>
            </w:tcBorders>
            <w:shd w:val="clear" w:color="auto" w:fill="auto"/>
            <w:noWrap/>
            <w:vAlign w:val="center"/>
            <w:hideMark/>
          </w:tcPr>
          <w:p w14:paraId="0A6AC677"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M42</w:t>
            </w:r>
            <w:r w:rsidRPr="00CA19E1">
              <w:rPr>
                <w:rFonts w:ascii="Symbol" w:eastAsia="Times New Roman" w:hAnsi="Symbol" w:cs="Times New Roman"/>
                <w:color w:val="000000"/>
                <w:sz w:val="22"/>
                <w:szCs w:val="22"/>
              </w:rPr>
              <w:t></w:t>
            </w:r>
          </w:p>
        </w:tc>
        <w:tc>
          <w:tcPr>
            <w:tcW w:w="714" w:type="pct"/>
            <w:tcBorders>
              <w:top w:val="nil"/>
              <w:left w:val="single" w:sz="4" w:space="0" w:color="auto"/>
              <w:bottom w:val="nil"/>
              <w:right w:val="nil"/>
            </w:tcBorders>
            <w:shd w:val="clear" w:color="auto" w:fill="auto"/>
            <w:noWrap/>
            <w:vAlign w:val="center"/>
            <w:hideMark/>
          </w:tcPr>
          <w:p w14:paraId="3D4C7FC6"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5" w:type="pct"/>
            <w:tcBorders>
              <w:top w:val="nil"/>
              <w:left w:val="nil"/>
              <w:bottom w:val="nil"/>
              <w:right w:val="single" w:sz="4" w:space="0" w:color="auto"/>
            </w:tcBorders>
            <w:shd w:val="clear" w:color="auto" w:fill="auto"/>
            <w:noWrap/>
            <w:vAlign w:val="center"/>
            <w:hideMark/>
          </w:tcPr>
          <w:p w14:paraId="3ACE9FC7"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5" w:type="pct"/>
            <w:tcBorders>
              <w:top w:val="nil"/>
              <w:left w:val="single" w:sz="4" w:space="0" w:color="auto"/>
              <w:bottom w:val="nil"/>
              <w:right w:val="nil"/>
            </w:tcBorders>
            <w:shd w:val="clear" w:color="auto" w:fill="auto"/>
            <w:noWrap/>
            <w:vAlign w:val="center"/>
            <w:hideMark/>
          </w:tcPr>
          <w:p w14:paraId="23D46EC2"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6" w:type="pct"/>
            <w:tcBorders>
              <w:top w:val="nil"/>
              <w:left w:val="nil"/>
              <w:bottom w:val="nil"/>
              <w:right w:val="single" w:sz="4" w:space="0" w:color="auto"/>
            </w:tcBorders>
            <w:shd w:val="clear" w:color="auto" w:fill="auto"/>
            <w:noWrap/>
            <w:vAlign w:val="center"/>
            <w:hideMark/>
          </w:tcPr>
          <w:p w14:paraId="27A9DDAC"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5" w:type="pct"/>
            <w:tcBorders>
              <w:top w:val="nil"/>
              <w:left w:val="single" w:sz="4" w:space="0" w:color="auto"/>
              <w:bottom w:val="nil"/>
              <w:right w:val="nil"/>
            </w:tcBorders>
            <w:shd w:val="clear" w:color="auto" w:fill="auto"/>
            <w:noWrap/>
            <w:vAlign w:val="center"/>
            <w:hideMark/>
          </w:tcPr>
          <w:p w14:paraId="3AA9D71E"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2" w:type="pct"/>
            <w:tcBorders>
              <w:top w:val="nil"/>
              <w:left w:val="nil"/>
              <w:bottom w:val="nil"/>
              <w:right w:val="nil"/>
            </w:tcBorders>
            <w:shd w:val="clear" w:color="auto" w:fill="auto"/>
            <w:noWrap/>
            <w:vAlign w:val="center"/>
            <w:hideMark/>
          </w:tcPr>
          <w:p w14:paraId="20AE6641"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r>
      <w:tr w:rsidR="00CA19E1" w:rsidRPr="00CA19E1" w14:paraId="464D6EED" w14:textId="77777777" w:rsidTr="00CA19E1">
        <w:trPr>
          <w:trHeight w:val="320"/>
        </w:trPr>
        <w:tc>
          <w:tcPr>
            <w:tcW w:w="563" w:type="pct"/>
            <w:tcBorders>
              <w:top w:val="nil"/>
              <w:left w:val="nil"/>
              <w:bottom w:val="nil"/>
              <w:right w:val="single" w:sz="4" w:space="0" w:color="auto"/>
            </w:tcBorders>
            <w:shd w:val="clear" w:color="auto" w:fill="auto"/>
            <w:noWrap/>
            <w:vAlign w:val="center"/>
            <w:hideMark/>
          </w:tcPr>
          <w:p w14:paraId="331FC1CB"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L52</w:t>
            </w:r>
            <w:r w:rsidRPr="00CA19E1">
              <w:rPr>
                <w:rFonts w:ascii="Symbol" w:eastAsia="Times New Roman" w:hAnsi="Symbol" w:cs="Times New Roman"/>
                <w:color w:val="000000"/>
                <w:sz w:val="22"/>
                <w:szCs w:val="22"/>
              </w:rPr>
              <w:t></w:t>
            </w:r>
            <w:r w:rsidRPr="00CA19E1">
              <w:rPr>
                <w:rFonts w:ascii="Calibri" w:eastAsia="Times New Roman" w:hAnsi="Calibri" w:cs="Times New Roman"/>
                <w:color w:val="000000"/>
                <w:sz w:val="22"/>
                <w:szCs w:val="22"/>
              </w:rPr>
              <w:t>1</w:t>
            </w:r>
          </w:p>
        </w:tc>
        <w:tc>
          <w:tcPr>
            <w:tcW w:w="714" w:type="pct"/>
            <w:tcBorders>
              <w:top w:val="nil"/>
              <w:left w:val="single" w:sz="4" w:space="0" w:color="auto"/>
              <w:bottom w:val="nil"/>
              <w:right w:val="nil"/>
            </w:tcBorders>
            <w:shd w:val="clear" w:color="auto" w:fill="auto"/>
            <w:noWrap/>
            <w:vAlign w:val="center"/>
            <w:hideMark/>
          </w:tcPr>
          <w:p w14:paraId="645A6894" w14:textId="0628BA1F"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0.43</w:t>
            </w:r>
            <w:r w:rsidR="00CA19E1" w:rsidRPr="00CA19E1">
              <w:rPr>
                <w:rFonts w:ascii="Calibri" w:eastAsia="Times New Roman" w:hAnsi="Calibri" w:cs="Times New Roman"/>
                <w:color w:val="000000"/>
                <w:sz w:val="22"/>
                <w:szCs w:val="22"/>
              </w:rPr>
              <w:t xml:space="preserve"> ± 0.02</w:t>
            </w:r>
          </w:p>
        </w:tc>
        <w:tc>
          <w:tcPr>
            <w:tcW w:w="745" w:type="pct"/>
            <w:tcBorders>
              <w:top w:val="nil"/>
              <w:left w:val="nil"/>
              <w:bottom w:val="nil"/>
              <w:right w:val="single" w:sz="4" w:space="0" w:color="auto"/>
            </w:tcBorders>
            <w:shd w:val="clear" w:color="auto" w:fill="auto"/>
            <w:noWrap/>
            <w:vAlign w:val="center"/>
            <w:hideMark/>
          </w:tcPr>
          <w:p w14:paraId="7B6ADBD1" w14:textId="0EAE647E"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0.68</w:t>
            </w:r>
            <w:r w:rsidR="00CA19E1" w:rsidRPr="00CA19E1">
              <w:rPr>
                <w:rFonts w:ascii="Calibri" w:eastAsia="Times New Roman" w:hAnsi="Calibri" w:cs="Times New Roman"/>
                <w:color w:val="000000"/>
                <w:sz w:val="22"/>
                <w:szCs w:val="22"/>
              </w:rPr>
              <w:t xml:space="preserve"> ± 0.0</w:t>
            </w:r>
            <w:r>
              <w:rPr>
                <w:rFonts w:ascii="Calibri" w:eastAsia="Times New Roman" w:hAnsi="Calibri" w:cs="Times New Roman"/>
                <w:color w:val="000000"/>
                <w:sz w:val="22"/>
                <w:szCs w:val="22"/>
              </w:rPr>
              <w:t>1</w:t>
            </w:r>
          </w:p>
        </w:tc>
        <w:tc>
          <w:tcPr>
            <w:tcW w:w="745" w:type="pct"/>
            <w:tcBorders>
              <w:top w:val="nil"/>
              <w:left w:val="single" w:sz="4" w:space="0" w:color="auto"/>
              <w:bottom w:val="nil"/>
              <w:right w:val="nil"/>
            </w:tcBorders>
            <w:shd w:val="clear" w:color="auto" w:fill="auto"/>
            <w:noWrap/>
            <w:vAlign w:val="center"/>
            <w:hideMark/>
          </w:tcPr>
          <w:p w14:paraId="4D7FC9E6" w14:textId="0D20A50C"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0.55</w:t>
            </w:r>
            <w:r w:rsidR="00CA19E1" w:rsidRPr="00CA19E1">
              <w:rPr>
                <w:rFonts w:ascii="Calibri" w:eastAsia="Times New Roman" w:hAnsi="Calibri" w:cs="Times New Roman"/>
                <w:color w:val="000000"/>
                <w:sz w:val="22"/>
                <w:szCs w:val="22"/>
              </w:rPr>
              <w:t xml:space="preserve"> ± 0.0</w:t>
            </w:r>
            <w:r>
              <w:rPr>
                <w:rFonts w:ascii="Calibri" w:eastAsia="Times New Roman" w:hAnsi="Calibri" w:cs="Times New Roman"/>
                <w:color w:val="000000"/>
                <w:sz w:val="22"/>
                <w:szCs w:val="22"/>
              </w:rPr>
              <w:t>5</w:t>
            </w:r>
          </w:p>
        </w:tc>
        <w:tc>
          <w:tcPr>
            <w:tcW w:w="746" w:type="pct"/>
            <w:tcBorders>
              <w:top w:val="nil"/>
              <w:left w:val="nil"/>
              <w:bottom w:val="nil"/>
              <w:right w:val="single" w:sz="4" w:space="0" w:color="auto"/>
            </w:tcBorders>
            <w:shd w:val="clear" w:color="auto" w:fill="auto"/>
            <w:noWrap/>
            <w:vAlign w:val="center"/>
            <w:hideMark/>
          </w:tcPr>
          <w:p w14:paraId="3A7168D4" w14:textId="6C22C233"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0.65</w:t>
            </w:r>
            <w:r w:rsidR="00CA19E1" w:rsidRPr="00CA19E1">
              <w:rPr>
                <w:rFonts w:ascii="Calibri" w:eastAsia="Times New Roman" w:hAnsi="Calibri" w:cs="Times New Roman"/>
                <w:color w:val="000000"/>
                <w:sz w:val="22"/>
                <w:szCs w:val="22"/>
              </w:rPr>
              <w:t xml:space="preserve"> ± 0.01</w:t>
            </w:r>
          </w:p>
        </w:tc>
        <w:tc>
          <w:tcPr>
            <w:tcW w:w="745" w:type="pct"/>
            <w:tcBorders>
              <w:top w:val="nil"/>
              <w:left w:val="single" w:sz="4" w:space="0" w:color="auto"/>
              <w:bottom w:val="nil"/>
              <w:right w:val="nil"/>
            </w:tcBorders>
            <w:shd w:val="clear" w:color="auto" w:fill="auto"/>
            <w:noWrap/>
            <w:vAlign w:val="center"/>
            <w:hideMark/>
          </w:tcPr>
          <w:p w14:paraId="2BCF528D"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2" w:type="pct"/>
            <w:tcBorders>
              <w:top w:val="nil"/>
              <w:left w:val="nil"/>
              <w:bottom w:val="nil"/>
              <w:right w:val="nil"/>
            </w:tcBorders>
            <w:shd w:val="clear" w:color="auto" w:fill="auto"/>
            <w:noWrap/>
            <w:vAlign w:val="center"/>
            <w:hideMark/>
          </w:tcPr>
          <w:p w14:paraId="4B9EB447"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r>
      <w:tr w:rsidR="00CA19E1" w:rsidRPr="00CA19E1" w14:paraId="5B43C17C" w14:textId="77777777" w:rsidTr="00CA19E1">
        <w:trPr>
          <w:trHeight w:val="320"/>
        </w:trPr>
        <w:tc>
          <w:tcPr>
            <w:tcW w:w="563" w:type="pct"/>
            <w:tcBorders>
              <w:top w:val="nil"/>
              <w:left w:val="nil"/>
              <w:bottom w:val="nil"/>
              <w:right w:val="single" w:sz="4" w:space="0" w:color="auto"/>
            </w:tcBorders>
            <w:shd w:val="clear" w:color="auto" w:fill="auto"/>
            <w:noWrap/>
            <w:vAlign w:val="center"/>
            <w:hideMark/>
          </w:tcPr>
          <w:p w14:paraId="23A5677F"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L52</w:t>
            </w:r>
            <w:r w:rsidRPr="00CA19E1">
              <w:rPr>
                <w:rFonts w:ascii="Symbol" w:eastAsia="Times New Roman" w:hAnsi="Symbol" w:cs="Times New Roman"/>
                <w:color w:val="000000"/>
                <w:sz w:val="22"/>
                <w:szCs w:val="22"/>
              </w:rPr>
              <w:t></w:t>
            </w:r>
            <w:r w:rsidRPr="00CA19E1">
              <w:rPr>
                <w:rFonts w:ascii="Calibri" w:eastAsia="Times New Roman" w:hAnsi="Calibri" w:cs="Times New Roman"/>
                <w:color w:val="000000"/>
                <w:sz w:val="22"/>
                <w:szCs w:val="22"/>
              </w:rPr>
              <w:t>2</w:t>
            </w:r>
          </w:p>
        </w:tc>
        <w:tc>
          <w:tcPr>
            <w:tcW w:w="714" w:type="pct"/>
            <w:tcBorders>
              <w:top w:val="nil"/>
              <w:left w:val="single" w:sz="4" w:space="0" w:color="auto"/>
              <w:bottom w:val="nil"/>
              <w:right w:val="nil"/>
            </w:tcBorders>
            <w:shd w:val="clear" w:color="auto" w:fill="auto"/>
            <w:noWrap/>
            <w:vAlign w:val="center"/>
            <w:hideMark/>
          </w:tcPr>
          <w:p w14:paraId="1B802E1C" w14:textId="7B1E1DE8"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0.69</w:t>
            </w:r>
            <w:r w:rsidR="00CA19E1" w:rsidRPr="00CA19E1">
              <w:rPr>
                <w:rFonts w:ascii="Calibri" w:eastAsia="Times New Roman" w:hAnsi="Calibri" w:cs="Times New Roman"/>
                <w:color w:val="000000"/>
                <w:sz w:val="22"/>
                <w:szCs w:val="22"/>
              </w:rPr>
              <w:t xml:space="preserve"> ± 0.0</w:t>
            </w:r>
            <w:r>
              <w:rPr>
                <w:rFonts w:ascii="Calibri" w:eastAsia="Times New Roman" w:hAnsi="Calibri" w:cs="Times New Roman"/>
                <w:color w:val="000000"/>
                <w:sz w:val="22"/>
                <w:szCs w:val="22"/>
              </w:rPr>
              <w:t>2</w:t>
            </w:r>
          </w:p>
        </w:tc>
        <w:tc>
          <w:tcPr>
            <w:tcW w:w="745" w:type="pct"/>
            <w:tcBorders>
              <w:top w:val="nil"/>
              <w:left w:val="nil"/>
              <w:bottom w:val="nil"/>
              <w:right w:val="single" w:sz="4" w:space="0" w:color="auto"/>
            </w:tcBorders>
            <w:shd w:val="clear" w:color="auto" w:fill="auto"/>
            <w:noWrap/>
            <w:vAlign w:val="center"/>
            <w:hideMark/>
          </w:tcPr>
          <w:p w14:paraId="1F7599C7" w14:textId="630C7BF2"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0.16 ± 0.01</w:t>
            </w:r>
          </w:p>
        </w:tc>
        <w:tc>
          <w:tcPr>
            <w:tcW w:w="745" w:type="pct"/>
            <w:tcBorders>
              <w:top w:val="nil"/>
              <w:left w:val="single" w:sz="4" w:space="0" w:color="auto"/>
              <w:bottom w:val="nil"/>
              <w:right w:val="nil"/>
            </w:tcBorders>
            <w:shd w:val="clear" w:color="auto" w:fill="auto"/>
            <w:noWrap/>
            <w:vAlign w:val="center"/>
            <w:hideMark/>
          </w:tcPr>
          <w:p w14:paraId="7D992435" w14:textId="22307A1D"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0.70</w:t>
            </w:r>
            <w:r w:rsidR="00CA19E1" w:rsidRPr="00CA19E1">
              <w:rPr>
                <w:rFonts w:ascii="Calibri" w:eastAsia="Times New Roman" w:hAnsi="Calibri" w:cs="Times New Roman"/>
                <w:color w:val="000000"/>
                <w:sz w:val="22"/>
                <w:szCs w:val="22"/>
              </w:rPr>
              <w:t xml:space="preserve"> ± 0.03</w:t>
            </w:r>
          </w:p>
        </w:tc>
        <w:tc>
          <w:tcPr>
            <w:tcW w:w="746" w:type="pct"/>
            <w:tcBorders>
              <w:top w:val="nil"/>
              <w:left w:val="nil"/>
              <w:bottom w:val="nil"/>
              <w:right w:val="single" w:sz="4" w:space="0" w:color="auto"/>
            </w:tcBorders>
            <w:shd w:val="clear" w:color="auto" w:fill="auto"/>
            <w:noWrap/>
            <w:vAlign w:val="center"/>
            <w:hideMark/>
          </w:tcPr>
          <w:p w14:paraId="770EF8F1" w14:textId="7D10BC11"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0.17 ± 0.01</w:t>
            </w:r>
          </w:p>
        </w:tc>
        <w:tc>
          <w:tcPr>
            <w:tcW w:w="745" w:type="pct"/>
            <w:tcBorders>
              <w:top w:val="nil"/>
              <w:left w:val="single" w:sz="4" w:space="0" w:color="auto"/>
              <w:bottom w:val="nil"/>
              <w:right w:val="nil"/>
            </w:tcBorders>
            <w:shd w:val="clear" w:color="auto" w:fill="auto"/>
            <w:noWrap/>
            <w:vAlign w:val="center"/>
            <w:hideMark/>
          </w:tcPr>
          <w:p w14:paraId="147120C7" w14:textId="085467DD"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0.67</w:t>
            </w:r>
            <w:r w:rsidR="00CA19E1" w:rsidRPr="00CA19E1">
              <w:rPr>
                <w:rFonts w:ascii="Calibri" w:eastAsia="Times New Roman" w:hAnsi="Calibri" w:cs="Times New Roman"/>
                <w:color w:val="000000"/>
                <w:sz w:val="22"/>
                <w:szCs w:val="22"/>
              </w:rPr>
              <w:t xml:space="preserve"> ± 0.0</w:t>
            </w:r>
            <w:r>
              <w:rPr>
                <w:rFonts w:ascii="Calibri" w:eastAsia="Times New Roman" w:hAnsi="Calibri" w:cs="Times New Roman"/>
                <w:color w:val="000000"/>
                <w:sz w:val="22"/>
                <w:szCs w:val="22"/>
              </w:rPr>
              <w:t>5</w:t>
            </w:r>
          </w:p>
        </w:tc>
        <w:tc>
          <w:tcPr>
            <w:tcW w:w="742" w:type="pct"/>
            <w:tcBorders>
              <w:top w:val="nil"/>
              <w:left w:val="nil"/>
              <w:bottom w:val="nil"/>
              <w:right w:val="nil"/>
            </w:tcBorders>
            <w:shd w:val="clear" w:color="auto" w:fill="auto"/>
            <w:noWrap/>
            <w:vAlign w:val="center"/>
            <w:hideMark/>
          </w:tcPr>
          <w:p w14:paraId="53032312" w14:textId="2F2A82D1"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0.75</w:t>
            </w:r>
            <w:r w:rsidR="00CA19E1" w:rsidRPr="00CA19E1">
              <w:rPr>
                <w:rFonts w:ascii="Calibri" w:eastAsia="Times New Roman" w:hAnsi="Calibri" w:cs="Times New Roman"/>
                <w:color w:val="000000"/>
                <w:sz w:val="22"/>
                <w:szCs w:val="22"/>
              </w:rPr>
              <w:t xml:space="preserve"> ± 0.0</w:t>
            </w:r>
            <w:r>
              <w:rPr>
                <w:rFonts w:ascii="Calibri" w:eastAsia="Times New Roman" w:hAnsi="Calibri" w:cs="Times New Roman"/>
                <w:color w:val="000000"/>
                <w:sz w:val="22"/>
                <w:szCs w:val="22"/>
              </w:rPr>
              <w:t>5</w:t>
            </w:r>
          </w:p>
        </w:tc>
      </w:tr>
      <w:tr w:rsidR="00CA19E1" w:rsidRPr="00CA19E1" w14:paraId="3DA4A0B3" w14:textId="77777777" w:rsidTr="00CA19E1">
        <w:trPr>
          <w:trHeight w:val="320"/>
        </w:trPr>
        <w:tc>
          <w:tcPr>
            <w:tcW w:w="563" w:type="pct"/>
            <w:tcBorders>
              <w:top w:val="nil"/>
              <w:left w:val="nil"/>
              <w:bottom w:val="nil"/>
              <w:right w:val="single" w:sz="4" w:space="0" w:color="auto"/>
            </w:tcBorders>
            <w:shd w:val="clear" w:color="auto" w:fill="auto"/>
            <w:noWrap/>
            <w:vAlign w:val="center"/>
            <w:hideMark/>
          </w:tcPr>
          <w:p w14:paraId="51629926"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L55</w:t>
            </w:r>
            <w:r w:rsidRPr="00CA19E1">
              <w:rPr>
                <w:rFonts w:ascii="Symbol" w:eastAsia="Times New Roman" w:hAnsi="Symbol" w:cs="Times New Roman"/>
                <w:color w:val="000000"/>
                <w:sz w:val="22"/>
                <w:szCs w:val="22"/>
              </w:rPr>
              <w:t></w:t>
            </w:r>
            <w:r w:rsidRPr="00CA19E1">
              <w:rPr>
                <w:rFonts w:ascii="Calibri" w:eastAsia="Times New Roman" w:hAnsi="Calibri" w:cs="Times New Roman"/>
                <w:color w:val="000000"/>
                <w:sz w:val="22"/>
                <w:szCs w:val="22"/>
              </w:rPr>
              <w:t>1</w:t>
            </w:r>
          </w:p>
        </w:tc>
        <w:tc>
          <w:tcPr>
            <w:tcW w:w="714" w:type="pct"/>
            <w:tcBorders>
              <w:top w:val="nil"/>
              <w:left w:val="single" w:sz="4" w:space="0" w:color="auto"/>
              <w:bottom w:val="nil"/>
              <w:right w:val="nil"/>
            </w:tcBorders>
            <w:shd w:val="clear" w:color="auto" w:fill="auto"/>
            <w:noWrap/>
            <w:vAlign w:val="center"/>
            <w:hideMark/>
          </w:tcPr>
          <w:p w14:paraId="4E9A1E3F" w14:textId="007F631C"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1.65 ± 0.03</w:t>
            </w:r>
          </w:p>
        </w:tc>
        <w:tc>
          <w:tcPr>
            <w:tcW w:w="745" w:type="pct"/>
            <w:tcBorders>
              <w:top w:val="nil"/>
              <w:left w:val="nil"/>
              <w:bottom w:val="nil"/>
              <w:right w:val="single" w:sz="4" w:space="0" w:color="auto"/>
            </w:tcBorders>
            <w:shd w:val="clear" w:color="auto" w:fill="auto"/>
            <w:noWrap/>
            <w:vAlign w:val="center"/>
            <w:hideMark/>
          </w:tcPr>
          <w:p w14:paraId="09872FC1" w14:textId="6D26341D"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0.15</w:t>
            </w:r>
            <w:r w:rsidR="00CA19E1" w:rsidRPr="00CA19E1">
              <w:rPr>
                <w:rFonts w:ascii="Calibri" w:eastAsia="Times New Roman" w:hAnsi="Calibri" w:cs="Times New Roman"/>
                <w:color w:val="000000"/>
                <w:sz w:val="22"/>
                <w:szCs w:val="22"/>
              </w:rPr>
              <w:t xml:space="preserve"> ± 0.0</w:t>
            </w:r>
            <w:r>
              <w:rPr>
                <w:rFonts w:ascii="Calibri" w:eastAsia="Times New Roman" w:hAnsi="Calibri" w:cs="Times New Roman"/>
                <w:color w:val="000000"/>
                <w:sz w:val="22"/>
                <w:szCs w:val="22"/>
              </w:rPr>
              <w:t>1</w:t>
            </w:r>
          </w:p>
        </w:tc>
        <w:tc>
          <w:tcPr>
            <w:tcW w:w="745" w:type="pct"/>
            <w:tcBorders>
              <w:top w:val="nil"/>
              <w:left w:val="single" w:sz="4" w:space="0" w:color="auto"/>
              <w:bottom w:val="nil"/>
              <w:right w:val="nil"/>
            </w:tcBorders>
            <w:shd w:val="clear" w:color="auto" w:fill="auto"/>
            <w:noWrap/>
            <w:vAlign w:val="center"/>
            <w:hideMark/>
          </w:tcPr>
          <w:p w14:paraId="223FC2ED"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6" w:type="pct"/>
            <w:tcBorders>
              <w:top w:val="nil"/>
              <w:left w:val="nil"/>
              <w:bottom w:val="nil"/>
              <w:right w:val="single" w:sz="4" w:space="0" w:color="auto"/>
            </w:tcBorders>
            <w:shd w:val="clear" w:color="auto" w:fill="auto"/>
            <w:noWrap/>
            <w:vAlign w:val="center"/>
            <w:hideMark/>
          </w:tcPr>
          <w:p w14:paraId="0325C057" w14:textId="631FEB0F"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0.16</w:t>
            </w:r>
            <w:r w:rsidR="00CA19E1" w:rsidRPr="00CA19E1">
              <w:rPr>
                <w:rFonts w:ascii="Calibri" w:eastAsia="Times New Roman" w:hAnsi="Calibri" w:cs="Times New Roman"/>
                <w:color w:val="000000"/>
                <w:sz w:val="22"/>
                <w:szCs w:val="22"/>
              </w:rPr>
              <w:t xml:space="preserve"> ± 0.0</w:t>
            </w:r>
            <w:r>
              <w:rPr>
                <w:rFonts w:ascii="Calibri" w:eastAsia="Times New Roman" w:hAnsi="Calibri" w:cs="Times New Roman"/>
                <w:color w:val="000000"/>
                <w:sz w:val="22"/>
                <w:szCs w:val="22"/>
              </w:rPr>
              <w:t>1</w:t>
            </w:r>
          </w:p>
        </w:tc>
        <w:tc>
          <w:tcPr>
            <w:tcW w:w="745" w:type="pct"/>
            <w:tcBorders>
              <w:top w:val="nil"/>
              <w:left w:val="single" w:sz="4" w:space="0" w:color="auto"/>
              <w:bottom w:val="nil"/>
              <w:right w:val="nil"/>
            </w:tcBorders>
            <w:shd w:val="clear" w:color="auto" w:fill="auto"/>
            <w:noWrap/>
            <w:vAlign w:val="center"/>
            <w:hideMark/>
          </w:tcPr>
          <w:p w14:paraId="5A506C99"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2" w:type="pct"/>
            <w:tcBorders>
              <w:top w:val="nil"/>
              <w:left w:val="nil"/>
              <w:bottom w:val="nil"/>
              <w:right w:val="nil"/>
            </w:tcBorders>
            <w:shd w:val="clear" w:color="auto" w:fill="auto"/>
            <w:noWrap/>
            <w:vAlign w:val="center"/>
            <w:hideMark/>
          </w:tcPr>
          <w:p w14:paraId="5A62FCC1" w14:textId="0F1ABBA5"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0.13</w:t>
            </w:r>
            <w:r w:rsidR="00CA19E1" w:rsidRPr="00CA19E1">
              <w:rPr>
                <w:rFonts w:ascii="Calibri" w:eastAsia="Times New Roman" w:hAnsi="Calibri" w:cs="Times New Roman"/>
                <w:color w:val="000000"/>
                <w:sz w:val="22"/>
                <w:szCs w:val="22"/>
              </w:rPr>
              <w:t xml:space="preserve"> ± 0.02</w:t>
            </w:r>
          </w:p>
        </w:tc>
      </w:tr>
      <w:tr w:rsidR="00CA19E1" w:rsidRPr="00CA19E1" w14:paraId="568D8DC3" w14:textId="77777777" w:rsidTr="00CA19E1">
        <w:trPr>
          <w:trHeight w:val="320"/>
        </w:trPr>
        <w:tc>
          <w:tcPr>
            <w:tcW w:w="563" w:type="pct"/>
            <w:tcBorders>
              <w:top w:val="nil"/>
              <w:left w:val="nil"/>
              <w:bottom w:val="nil"/>
              <w:right w:val="single" w:sz="4" w:space="0" w:color="auto"/>
            </w:tcBorders>
            <w:shd w:val="clear" w:color="auto" w:fill="auto"/>
            <w:noWrap/>
            <w:vAlign w:val="center"/>
            <w:hideMark/>
          </w:tcPr>
          <w:p w14:paraId="6FB5C718"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L55</w:t>
            </w:r>
            <w:r w:rsidRPr="00CA19E1">
              <w:rPr>
                <w:rFonts w:ascii="Symbol" w:eastAsia="Times New Roman" w:hAnsi="Symbol" w:cs="Times New Roman"/>
                <w:color w:val="000000"/>
                <w:sz w:val="22"/>
                <w:szCs w:val="22"/>
              </w:rPr>
              <w:t></w:t>
            </w:r>
            <w:r w:rsidRPr="00CA19E1">
              <w:rPr>
                <w:rFonts w:ascii="Calibri" w:eastAsia="Times New Roman" w:hAnsi="Calibri" w:cs="Times New Roman"/>
                <w:color w:val="000000"/>
                <w:sz w:val="22"/>
                <w:szCs w:val="22"/>
              </w:rPr>
              <w:t>2</w:t>
            </w:r>
          </w:p>
        </w:tc>
        <w:tc>
          <w:tcPr>
            <w:tcW w:w="714" w:type="pct"/>
            <w:tcBorders>
              <w:top w:val="nil"/>
              <w:left w:val="single" w:sz="4" w:space="0" w:color="auto"/>
              <w:bottom w:val="nil"/>
              <w:right w:val="nil"/>
            </w:tcBorders>
            <w:shd w:val="clear" w:color="auto" w:fill="auto"/>
            <w:noWrap/>
            <w:vAlign w:val="center"/>
            <w:hideMark/>
          </w:tcPr>
          <w:p w14:paraId="2BA3DC48" w14:textId="600ABBF4"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1.18 ± 0.03</w:t>
            </w:r>
          </w:p>
        </w:tc>
        <w:tc>
          <w:tcPr>
            <w:tcW w:w="745" w:type="pct"/>
            <w:tcBorders>
              <w:top w:val="nil"/>
              <w:left w:val="nil"/>
              <w:bottom w:val="nil"/>
              <w:right w:val="single" w:sz="4" w:space="0" w:color="auto"/>
            </w:tcBorders>
            <w:shd w:val="clear" w:color="auto" w:fill="auto"/>
            <w:noWrap/>
            <w:vAlign w:val="center"/>
            <w:hideMark/>
          </w:tcPr>
          <w:p w14:paraId="484673AC" w14:textId="4B30588A"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0.25</w:t>
            </w:r>
            <w:r w:rsidR="00CA19E1" w:rsidRPr="00CA19E1">
              <w:rPr>
                <w:rFonts w:ascii="Calibri" w:eastAsia="Times New Roman" w:hAnsi="Calibri" w:cs="Times New Roman"/>
                <w:color w:val="000000"/>
                <w:sz w:val="22"/>
                <w:szCs w:val="22"/>
              </w:rPr>
              <w:t xml:space="preserve"> ± 0.0</w:t>
            </w:r>
            <w:r>
              <w:rPr>
                <w:rFonts w:ascii="Calibri" w:eastAsia="Times New Roman" w:hAnsi="Calibri" w:cs="Times New Roman"/>
                <w:color w:val="000000"/>
                <w:sz w:val="22"/>
                <w:szCs w:val="22"/>
              </w:rPr>
              <w:t>1</w:t>
            </w:r>
          </w:p>
        </w:tc>
        <w:tc>
          <w:tcPr>
            <w:tcW w:w="745" w:type="pct"/>
            <w:tcBorders>
              <w:top w:val="nil"/>
              <w:left w:val="single" w:sz="4" w:space="0" w:color="auto"/>
              <w:bottom w:val="nil"/>
              <w:right w:val="nil"/>
            </w:tcBorders>
            <w:shd w:val="clear" w:color="auto" w:fill="auto"/>
            <w:noWrap/>
            <w:vAlign w:val="center"/>
            <w:hideMark/>
          </w:tcPr>
          <w:p w14:paraId="51D06C31"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6" w:type="pct"/>
            <w:tcBorders>
              <w:top w:val="nil"/>
              <w:left w:val="nil"/>
              <w:bottom w:val="nil"/>
              <w:right w:val="single" w:sz="4" w:space="0" w:color="auto"/>
            </w:tcBorders>
            <w:shd w:val="clear" w:color="auto" w:fill="auto"/>
            <w:noWrap/>
            <w:vAlign w:val="center"/>
            <w:hideMark/>
          </w:tcPr>
          <w:p w14:paraId="43D3846B" w14:textId="13E16E74"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0.24 ± 0.01</w:t>
            </w:r>
          </w:p>
        </w:tc>
        <w:tc>
          <w:tcPr>
            <w:tcW w:w="745" w:type="pct"/>
            <w:tcBorders>
              <w:top w:val="nil"/>
              <w:left w:val="single" w:sz="4" w:space="0" w:color="auto"/>
              <w:bottom w:val="nil"/>
              <w:right w:val="nil"/>
            </w:tcBorders>
            <w:shd w:val="clear" w:color="auto" w:fill="auto"/>
            <w:noWrap/>
            <w:vAlign w:val="center"/>
            <w:hideMark/>
          </w:tcPr>
          <w:p w14:paraId="248BD6F0"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2" w:type="pct"/>
            <w:tcBorders>
              <w:top w:val="nil"/>
              <w:left w:val="nil"/>
              <w:bottom w:val="nil"/>
              <w:right w:val="nil"/>
            </w:tcBorders>
            <w:shd w:val="clear" w:color="auto" w:fill="auto"/>
            <w:noWrap/>
            <w:vAlign w:val="center"/>
            <w:hideMark/>
          </w:tcPr>
          <w:p w14:paraId="23C17567" w14:textId="764AFBAC"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0.15</w:t>
            </w:r>
            <w:r w:rsidR="00CA19E1" w:rsidRPr="00CA19E1">
              <w:rPr>
                <w:rFonts w:ascii="Calibri" w:eastAsia="Times New Roman" w:hAnsi="Calibri" w:cs="Times New Roman"/>
                <w:color w:val="000000"/>
                <w:sz w:val="22"/>
                <w:szCs w:val="22"/>
              </w:rPr>
              <w:t xml:space="preserve"> ± 0.0</w:t>
            </w:r>
            <w:r>
              <w:rPr>
                <w:rFonts w:ascii="Calibri" w:eastAsia="Times New Roman" w:hAnsi="Calibri" w:cs="Times New Roman"/>
                <w:color w:val="000000"/>
                <w:sz w:val="22"/>
                <w:szCs w:val="22"/>
              </w:rPr>
              <w:t>3</w:t>
            </w:r>
          </w:p>
        </w:tc>
      </w:tr>
      <w:tr w:rsidR="00CA19E1" w:rsidRPr="00CA19E1" w14:paraId="1BFF71DC" w14:textId="77777777" w:rsidTr="00CA19E1">
        <w:trPr>
          <w:trHeight w:val="320"/>
        </w:trPr>
        <w:tc>
          <w:tcPr>
            <w:tcW w:w="563" w:type="pct"/>
            <w:tcBorders>
              <w:top w:val="nil"/>
              <w:left w:val="nil"/>
              <w:bottom w:val="nil"/>
              <w:right w:val="single" w:sz="4" w:space="0" w:color="auto"/>
            </w:tcBorders>
            <w:shd w:val="clear" w:color="auto" w:fill="auto"/>
            <w:noWrap/>
            <w:vAlign w:val="center"/>
            <w:hideMark/>
          </w:tcPr>
          <w:p w14:paraId="0F845965"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V67</w:t>
            </w:r>
            <w:r w:rsidRPr="00CA19E1">
              <w:rPr>
                <w:rFonts w:ascii="Symbol" w:eastAsia="Times New Roman" w:hAnsi="Symbol" w:cs="Times New Roman"/>
                <w:color w:val="000000"/>
                <w:sz w:val="22"/>
                <w:szCs w:val="22"/>
              </w:rPr>
              <w:t></w:t>
            </w:r>
            <w:r w:rsidRPr="00CA19E1">
              <w:rPr>
                <w:rFonts w:ascii="Calibri" w:eastAsia="Times New Roman" w:hAnsi="Calibri" w:cs="Times New Roman"/>
                <w:color w:val="000000"/>
                <w:sz w:val="22"/>
                <w:szCs w:val="22"/>
              </w:rPr>
              <w:t>1</w:t>
            </w:r>
          </w:p>
        </w:tc>
        <w:tc>
          <w:tcPr>
            <w:tcW w:w="714" w:type="pct"/>
            <w:tcBorders>
              <w:top w:val="nil"/>
              <w:left w:val="single" w:sz="4" w:space="0" w:color="auto"/>
              <w:bottom w:val="nil"/>
              <w:right w:val="nil"/>
            </w:tcBorders>
            <w:shd w:val="clear" w:color="auto" w:fill="auto"/>
            <w:noWrap/>
            <w:vAlign w:val="center"/>
            <w:hideMark/>
          </w:tcPr>
          <w:p w14:paraId="63662C37"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5" w:type="pct"/>
            <w:tcBorders>
              <w:top w:val="nil"/>
              <w:left w:val="nil"/>
              <w:bottom w:val="nil"/>
              <w:right w:val="single" w:sz="4" w:space="0" w:color="auto"/>
            </w:tcBorders>
            <w:shd w:val="clear" w:color="auto" w:fill="auto"/>
            <w:noWrap/>
            <w:vAlign w:val="center"/>
            <w:hideMark/>
          </w:tcPr>
          <w:p w14:paraId="61BB207B" w14:textId="6FCAD017"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0.04 ± 0.01</w:t>
            </w:r>
          </w:p>
        </w:tc>
        <w:tc>
          <w:tcPr>
            <w:tcW w:w="745" w:type="pct"/>
            <w:tcBorders>
              <w:top w:val="nil"/>
              <w:left w:val="single" w:sz="4" w:space="0" w:color="auto"/>
              <w:bottom w:val="nil"/>
              <w:right w:val="nil"/>
            </w:tcBorders>
            <w:shd w:val="clear" w:color="auto" w:fill="auto"/>
            <w:noWrap/>
            <w:vAlign w:val="center"/>
            <w:hideMark/>
          </w:tcPr>
          <w:p w14:paraId="62D9FB1A"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6" w:type="pct"/>
            <w:tcBorders>
              <w:top w:val="nil"/>
              <w:left w:val="nil"/>
              <w:bottom w:val="nil"/>
              <w:right w:val="single" w:sz="4" w:space="0" w:color="auto"/>
            </w:tcBorders>
            <w:shd w:val="clear" w:color="auto" w:fill="auto"/>
            <w:noWrap/>
            <w:vAlign w:val="center"/>
            <w:hideMark/>
          </w:tcPr>
          <w:p w14:paraId="5F830E47" w14:textId="24BB4D3B"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0.06</w:t>
            </w:r>
            <w:r w:rsidR="00CA19E1" w:rsidRPr="00CA19E1">
              <w:rPr>
                <w:rFonts w:ascii="Calibri" w:eastAsia="Times New Roman" w:hAnsi="Calibri" w:cs="Times New Roman"/>
                <w:color w:val="000000"/>
                <w:sz w:val="22"/>
                <w:szCs w:val="22"/>
              </w:rPr>
              <w:t xml:space="preserve"> ± 0.0</w:t>
            </w:r>
            <w:r>
              <w:rPr>
                <w:rFonts w:ascii="Calibri" w:eastAsia="Times New Roman" w:hAnsi="Calibri" w:cs="Times New Roman"/>
                <w:color w:val="000000"/>
                <w:sz w:val="22"/>
                <w:szCs w:val="22"/>
              </w:rPr>
              <w:t>1</w:t>
            </w:r>
          </w:p>
        </w:tc>
        <w:tc>
          <w:tcPr>
            <w:tcW w:w="745" w:type="pct"/>
            <w:tcBorders>
              <w:top w:val="nil"/>
              <w:left w:val="single" w:sz="4" w:space="0" w:color="auto"/>
              <w:bottom w:val="nil"/>
              <w:right w:val="nil"/>
            </w:tcBorders>
            <w:shd w:val="clear" w:color="auto" w:fill="auto"/>
            <w:noWrap/>
            <w:vAlign w:val="center"/>
            <w:hideMark/>
          </w:tcPr>
          <w:p w14:paraId="41C7A0F8"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2" w:type="pct"/>
            <w:tcBorders>
              <w:top w:val="nil"/>
              <w:left w:val="nil"/>
              <w:bottom w:val="nil"/>
              <w:right w:val="nil"/>
            </w:tcBorders>
            <w:shd w:val="clear" w:color="auto" w:fill="auto"/>
            <w:noWrap/>
            <w:vAlign w:val="center"/>
            <w:hideMark/>
          </w:tcPr>
          <w:p w14:paraId="22772881" w14:textId="035181DF"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0.09</w:t>
            </w:r>
            <w:r w:rsidR="00CA19E1" w:rsidRPr="00CA19E1">
              <w:rPr>
                <w:rFonts w:ascii="Calibri" w:eastAsia="Times New Roman" w:hAnsi="Calibri" w:cs="Times New Roman"/>
                <w:color w:val="000000"/>
                <w:sz w:val="22"/>
                <w:szCs w:val="22"/>
              </w:rPr>
              <w:t xml:space="preserve"> ± 0.0</w:t>
            </w:r>
            <w:r>
              <w:rPr>
                <w:rFonts w:ascii="Calibri" w:eastAsia="Times New Roman" w:hAnsi="Calibri" w:cs="Times New Roman"/>
                <w:color w:val="000000"/>
                <w:sz w:val="22"/>
                <w:szCs w:val="22"/>
              </w:rPr>
              <w:t>1</w:t>
            </w:r>
          </w:p>
        </w:tc>
      </w:tr>
      <w:tr w:rsidR="00CA19E1" w:rsidRPr="00CA19E1" w14:paraId="37187240" w14:textId="77777777" w:rsidTr="00CA19E1">
        <w:trPr>
          <w:trHeight w:val="320"/>
        </w:trPr>
        <w:tc>
          <w:tcPr>
            <w:tcW w:w="563" w:type="pct"/>
            <w:tcBorders>
              <w:top w:val="nil"/>
              <w:left w:val="nil"/>
              <w:bottom w:val="nil"/>
              <w:right w:val="single" w:sz="4" w:space="0" w:color="auto"/>
            </w:tcBorders>
            <w:shd w:val="clear" w:color="auto" w:fill="auto"/>
            <w:noWrap/>
            <w:vAlign w:val="center"/>
            <w:hideMark/>
          </w:tcPr>
          <w:p w14:paraId="31BFC3A3"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V67</w:t>
            </w:r>
            <w:r w:rsidRPr="00CA19E1">
              <w:rPr>
                <w:rFonts w:ascii="Symbol" w:eastAsia="Times New Roman" w:hAnsi="Symbol" w:cs="Times New Roman"/>
                <w:color w:val="000000"/>
                <w:sz w:val="22"/>
                <w:szCs w:val="22"/>
              </w:rPr>
              <w:t></w:t>
            </w:r>
            <w:r w:rsidRPr="00CA19E1">
              <w:rPr>
                <w:rFonts w:ascii="Calibri" w:eastAsia="Times New Roman" w:hAnsi="Calibri" w:cs="Times New Roman"/>
                <w:color w:val="000000"/>
                <w:sz w:val="22"/>
                <w:szCs w:val="22"/>
              </w:rPr>
              <w:t>2</w:t>
            </w:r>
          </w:p>
        </w:tc>
        <w:tc>
          <w:tcPr>
            <w:tcW w:w="714" w:type="pct"/>
            <w:tcBorders>
              <w:top w:val="nil"/>
              <w:left w:val="single" w:sz="4" w:space="0" w:color="auto"/>
              <w:bottom w:val="nil"/>
              <w:right w:val="nil"/>
            </w:tcBorders>
            <w:shd w:val="clear" w:color="auto" w:fill="auto"/>
            <w:noWrap/>
            <w:vAlign w:val="center"/>
            <w:hideMark/>
          </w:tcPr>
          <w:p w14:paraId="24C11F54"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5" w:type="pct"/>
            <w:tcBorders>
              <w:top w:val="nil"/>
              <w:left w:val="nil"/>
              <w:bottom w:val="nil"/>
              <w:right w:val="single" w:sz="4" w:space="0" w:color="auto"/>
            </w:tcBorders>
            <w:shd w:val="clear" w:color="auto" w:fill="auto"/>
            <w:noWrap/>
            <w:vAlign w:val="center"/>
            <w:hideMark/>
          </w:tcPr>
          <w:p w14:paraId="1FDBAE90" w14:textId="312A6B96"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0.06 ± 0.01</w:t>
            </w:r>
          </w:p>
        </w:tc>
        <w:tc>
          <w:tcPr>
            <w:tcW w:w="745" w:type="pct"/>
            <w:tcBorders>
              <w:top w:val="nil"/>
              <w:left w:val="single" w:sz="4" w:space="0" w:color="auto"/>
              <w:bottom w:val="nil"/>
              <w:right w:val="nil"/>
            </w:tcBorders>
            <w:shd w:val="clear" w:color="auto" w:fill="auto"/>
            <w:noWrap/>
            <w:vAlign w:val="center"/>
            <w:hideMark/>
          </w:tcPr>
          <w:p w14:paraId="49C48402"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6" w:type="pct"/>
            <w:tcBorders>
              <w:top w:val="nil"/>
              <w:left w:val="nil"/>
              <w:bottom w:val="nil"/>
              <w:right w:val="single" w:sz="4" w:space="0" w:color="auto"/>
            </w:tcBorders>
            <w:shd w:val="clear" w:color="auto" w:fill="auto"/>
            <w:noWrap/>
            <w:vAlign w:val="center"/>
            <w:hideMark/>
          </w:tcPr>
          <w:p w14:paraId="13091553" w14:textId="593E28DB"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0.08</w:t>
            </w:r>
            <w:r w:rsidR="00CA19E1" w:rsidRPr="00CA19E1">
              <w:rPr>
                <w:rFonts w:ascii="Calibri" w:eastAsia="Times New Roman" w:hAnsi="Calibri" w:cs="Times New Roman"/>
                <w:color w:val="000000"/>
                <w:sz w:val="22"/>
                <w:szCs w:val="22"/>
              </w:rPr>
              <w:t xml:space="preserve"> ± 0.0</w:t>
            </w:r>
            <w:r>
              <w:rPr>
                <w:rFonts w:ascii="Calibri" w:eastAsia="Times New Roman" w:hAnsi="Calibri" w:cs="Times New Roman"/>
                <w:color w:val="000000"/>
                <w:sz w:val="22"/>
                <w:szCs w:val="22"/>
              </w:rPr>
              <w:t>1</w:t>
            </w:r>
          </w:p>
        </w:tc>
        <w:tc>
          <w:tcPr>
            <w:tcW w:w="745" w:type="pct"/>
            <w:tcBorders>
              <w:top w:val="nil"/>
              <w:left w:val="single" w:sz="4" w:space="0" w:color="auto"/>
              <w:bottom w:val="nil"/>
              <w:right w:val="nil"/>
            </w:tcBorders>
            <w:shd w:val="clear" w:color="auto" w:fill="auto"/>
            <w:noWrap/>
            <w:vAlign w:val="center"/>
            <w:hideMark/>
          </w:tcPr>
          <w:p w14:paraId="5E83C766" w14:textId="77777777" w:rsidR="00CA19E1" w:rsidRPr="00CA19E1" w:rsidRDefault="00CA19E1" w:rsidP="00CA19E1">
            <w:pPr>
              <w:jc w:val="center"/>
              <w:rPr>
                <w:rFonts w:ascii="Calibri" w:eastAsia="Times New Roman" w:hAnsi="Calibri" w:cs="Times New Roman"/>
                <w:color w:val="000000"/>
                <w:sz w:val="22"/>
                <w:szCs w:val="22"/>
              </w:rPr>
            </w:pPr>
            <w:r w:rsidRPr="00CA19E1">
              <w:rPr>
                <w:rFonts w:ascii="Calibri" w:eastAsia="Times New Roman" w:hAnsi="Calibri" w:cs="Times New Roman"/>
                <w:color w:val="000000"/>
                <w:sz w:val="22"/>
                <w:szCs w:val="22"/>
              </w:rPr>
              <w:t>NA</w:t>
            </w:r>
          </w:p>
        </w:tc>
        <w:tc>
          <w:tcPr>
            <w:tcW w:w="742" w:type="pct"/>
            <w:tcBorders>
              <w:top w:val="nil"/>
              <w:left w:val="nil"/>
              <w:bottom w:val="nil"/>
              <w:right w:val="nil"/>
            </w:tcBorders>
            <w:shd w:val="clear" w:color="auto" w:fill="auto"/>
            <w:noWrap/>
            <w:vAlign w:val="center"/>
            <w:hideMark/>
          </w:tcPr>
          <w:p w14:paraId="00858161" w14:textId="13A10F13" w:rsidR="00CA19E1" w:rsidRPr="00CA19E1" w:rsidRDefault="00D705DA" w:rsidP="00CA19E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0.09</w:t>
            </w:r>
            <w:r w:rsidR="00CA19E1" w:rsidRPr="00CA19E1">
              <w:rPr>
                <w:rFonts w:ascii="Calibri" w:eastAsia="Times New Roman" w:hAnsi="Calibri" w:cs="Times New Roman"/>
                <w:color w:val="000000"/>
                <w:sz w:val="22"/>
                <w:szCs w:val="22"/>
              </w:rPr>
              <w:t xml:space="preserve"> ± 0.0</w:t>
            </w:r>
            <w:r>
              <w:rPr>
                <w:rFonts w:ascii="Calibri" w:eastAsia="Times New Roman" w:hAnsi="Calibri" w:cs="Times New Roman"/>
                <w:color w:val="000000"/>
                <w:sz w:val="22"/>
                <w:szCs w:val="22"/>
              </w:rPr>
              <w:t>1</w:t>
            </w:r>
          </w:p>
        </w:tc>
      </w:tr>
    </w:tbl>
    <w:p w14:paraId="2150E9F1" w14:textId="77777777" w:rsidR="00945802" w:rsidRDefault="00945802" w:rsidP="00945802"/>
    <w:p w14:paraId="382B86BD" w14:textId="77777777" w:rsidR="00C96B8E" w:rsidRDefault="00C96B8E" w:rsidP="00945802"/>
    <w:p w14:paraId="019FB3C3" w14:textId="7BBFFF3A" w:rsidR="00CA19E1" w:rsidRPr="00CA19E1" w:rsidRDefault="00CA19E1" w:rsidP="004574B3">
      <w:pPr>
        <w:jc w:val="both"/>
      </w:pPr>
      <w:r w:rsidRPr="00CA19E1">
        <w:rPr>
          <w:b/>
        </w:rPr>
        <w:t>Supplemental Table 1.</w:t>
      </w:r>
      <w:r>
        <w:t xml:space="preserve">  Chemical shift differences (</w:t>
      </w:r>
      <w:r w:rsidRPr="00CA36B9">
        <w:rPr>
          <w:rFonts w:eastAsia="Times New Roman"/>
        </w:rPr>
        <w:t>|</w:t>
      </w:r>
      <w:r>
        <w:rPr>
          <w:rFonts w:ascii="Symbol" w:hAnsi="Symbol"/>
          <w:i/>
        </w:rPr>
        <w:t></w:t>
      </w:r>
      <w:r>
        <w:rPr>
          <w:rFonts w:ascii="Symbol" w:hAnsi="Symbol"/>
          <w:i/>
        </w:rPr>
        <w:t></w:t>
      </w:r>
      <w:r w:rsidRPr="00CA36B9">
        <w:rPr>
          <w:rFonts w:eastAsia="Times New Roman"/>
        </w:rPr>
        <w:t>|</w:t>
      </w:r>
      <w:r w:rsidRPr="00996992">
        <w:rPr>
          <w:rFonts w:eastAsia="Times New Roman"/>
          <w:i/>
        </w:rPr>
        <w:t xml:space="preserve"> = </w:t>
      </w:r>
      <w:r w:rsidRPr="00CA36B9">
        <w:rPr>
          <w:rFonts w:eastAsia="Times New Roman"/>
        </w:rPr>
        <w:t>|</w:t>
      </w:r>
      <w:r>
        <w:rPr>
          <w:rFonts w:ascii="Symbol" w:hAnsi="Symbol"/>
          <w:i/>
        </w:rPr>
        <w:t></w:t>
      </w:r>
      <w:r w:rsidRPr="00996992">
        <w:rPr>
          <w:rFonts w:eastAsia="Times New Roman"/>
          <w:i/>
          <w:vertAlign w:val="subscript"/>
        </w:rPr>
        <w:t>I</w:t>
      </w:r>
      <w:r w:rsidRPr="00996992">
        <w:rPr>
          <w:rFonts w:eastAsia="Times New Roman"/>
          <w:i/>
        </w:rPr>
        <w:t xml:space="preserve"> - </w:t>
      </w:r>
      <w:r>
        <w:rPr>
          <w:rFonts w:ascii="Symbol" w:hAnsi="Symbol"/>
          <w:i/>
        </w:rPr>
        <w:t></w:t>
      </w:r>
      <w:r w:rsidRPr="00996992">
        <w:rPr>
          <w:rFonts w:eastAsia="Times New Roman"/>
          <w:i/>
          <w:vertAlign w:val="subscript"/>
        </w:rPr>
        <w:t>N</w:t>
      </w:r>
      <w:r w:rsidRPr="00CA36B9">
        <w:rPr>
          <w:rFonts w:eastAsia="Times New Roman"/>
        </w:rPr>
        <w:t>|</w:t>
      </w:r>
      <w:r>
        <w:rPr>
          <w:rFonts w:eastAsia="Times New Roman"/>
        </w:rPr>
        <w:t>; in ppm</w:t>
      </w:r>
      <w:r>
        <w:t>) calculated from</w:t>
      </w:r>
      <w:r w:rsidR="00655E01">
        <w:t xml:space="preserve"> fits of</w:t>
      </w:r>
      <w:r>
        <w:t xml:space="preserve"> </w:t>
      </w:r>
      <w:r>
        <w:rPr>
          <w:vertAlign w:val="superscript"/>
        </w:rPr>
        <w:t>13</w:t>
      </w:r>
      <w:r>
        <w:t xml:space="preserve">C and </w:t>
      </w:r>
      <w:r>
        <w:rPr>
          <w:vertAlign w:val="superscript"/>
        </w:rPr>
        <w:t>1</w:t>
      </w:r>
      <w:r>
        <w:t xml:space="preserve">H </w:t>
      </w:r>
      <w:r w:rsidR="00655E01">
        <w:t xml:space="preserve">CPMG </w:t>
      </w:r>
      <w:r>
        <w:t xml:space="preserve">RD </w:t>
      </w:r>
      <w:r w:rsidR="00655E01">
        <w:t>profiles</w:t>
      </w:r>
      <w:r>
        <w:t xml:space="preserve"> recorded on samples of FF dissolved in buffer, </w:t>
      </w:r>
      <w:r>
        <w:rPr>
          <w:i/>
        </w:rPr>
        <w:t>E. coli</w:t>
      </w:r>
      <w:r>
        <w:t xml:space="preserve"> or </w:t>
      </w:r>
      <w:r>
        <w:rPr>
          <w:i/>
        </w:rPr>
        <w:t>S. cerevisiae</w:t>
      </w:r>
      <w:r>
        <w:t xml:space="preserve"> lysates at 30 </w:t>
      </w:r>
      <w:r>
        <w:rPr>
          <w:rFonts w:ascii="Cambria" w:hAnsi="Cambria"/>
        </w:rPr>
        <w:t>°</w:t>
      </w:r>
      <w:r>
        <w:t>C.  Residues for which no dispersions were observed are indicated by “NA.”</w:t>
      </w:r>
    </w:p>
    <w:p w14:paraId="1E221BAB" w14:textId="77777777" w:rsidR="00CA19E1" w:rsidRDefault="00CA19E1" w:rsidP="004574B3">
      <w:pPr>
        <w:jc w:val="both"/>
        <w:rPr>
          <w:b/>
        </w:rPr>
      </w:pPr>
    </w:p>
    <w:p w14:paraId="1D8C243F" w14:textId="24575669" w:rsidR="00CA19E1" w:rsidRDefault="00CA19E1">
      <w:pPr>
        <w:rPr>
          <w:b/>
        </w:rPr>
      </w:pPr>
      <w:r>
        <w:rPr>
          <w:b/>
        </w:rPr>
        <w:br w:type="page"/>
      </w:r>
    </w:p>
    <w:p w14:paraId="459AC599" w14:textId="77777777" w:rsidR="00CA19E1" w:rsidRPr="00CA19E1" w:rsidRDefault="00CA19E1" w:rsidP="00945802">
      <w:pPr>
        <w:rPr>
          <w:b/>
        </w:rPr>
      </w:pPr>
    </w:p>
    <w:p w14:paraId="78DCBF5F" w14:textId="75992CC4" w:rsidR="00945802" w:rsidRDefault="003B722A" w:rsidP="00945802">
      <w:r>
        <w:rPr>
          <w:noProof/>
        </w:rPr>
        <w:drawing>
          <wp:inline distT="0" distB="0" distL="0" distR="0" wp14:anchorId="10575617" wp14:editId="33D9063D">
            <wp:extent cx="5486400" cy="1873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e.tif"/>
                    <pic:cNvPicPr/>
                  </pic:nvPicPr>
                  <pic:blipFill>
                    <a:blip r:embed="rId11">
                      <a:extLst>
                        <a:ext uri="{28A0092B-C50C-407E-A947-70E740481C1C}">
                          <a14:useLocalDpi xmlns:a14="http://schemas.microsoft.com/office/drawing/2010/main" val="0"/>
                        </a:ext>
                      </a:extLst>
                    </a:blip>
                    <a:stretch>
                      <a:fillRect/>
                    </a:stretch>
                  </pic:blipFill>
                  <pic:spPr>
                    <a:xfrm>
                      <a:off x="0" y="0"/>
                      <a:ext cx="5486400" cy="1873885"/>
                    </a:xfrm>
                    <a:prstGeom prst="rect">
                      <a:avLst/>
                    </a:prstGeom>
                  </pic:spPr>
                </pic:pic>
              </a:graphicData>
            </a:graphic>
          </wp:inline>
        </w:drawing>
      </w:r>
      <w:r w:rsidR="008D6FB4">
        <w:softHyphen/>
      </w:r>
    </w:p>
    <w:p w14:paraId="14ADA160" w14:textId="10C1B579" w:rsidR="00945802" w:rsidRDefault="00945802" w:rsidP="005B5E00">
      <w:pPr>
        <w:spacing w:before="240"/>
        <w:jc w:val="both"/>
      </w:pPr>
      <w:r>
        <w:rPr>
          <w:b/>
        </w:rPr>
        <w:t>Supplemental Figure 1.</w:t>
      </w:r>
      <w:r>
        <w:t xml:space="preserve"> </w:t>
      </w:r>
      <w:r w:rsidR="00CC07DC">
        <w:t xml:space="preserve"> </w:t>
      </w:r>
      <w:r w:rsidR="002658E6">
        <w:t>(</w:t>
      </w:r>
      <w:r w:rsidR="002658E6" w:rsidRPr="002658E6">
        <w:rPr>
          <w:i/>
        </w:rPr>
        <w:t>p</w:t>
      </w:r>
      <w:r w:rsidR="002658E6" w:rsidRPr="002658E6">
        <w:rPr>
          <w:i/>
          <w:vertAlign w:val="subscript"/>
        </w:rPr>
        <w:t>I</w:t>
      </w:r>
      <w:r w:rsidR="002658E6">
        <w:t>,</w:t>
      </w:r>
      <w:r w:rsidR="002658E6" w:rsidRPr="002658E6">
        <w:rPr>
          <w:i/>
        </w:rPr>
        <w:t>k</w:t>
      </w:r>
      <w:r w:rsidR="002658E6" w:rsidRPr="002658E6">
        <w:rPr>
          <w:i/>
          <w:vertAlign w:val="subscript"/>
        </w:rPr>
        <w:t>ex</w:t>
      </w:r>
      <w:r w:rsidR="002658E6">
        <w:t>) dis</w:t>
      </w:r>
      <w:r w:rsidR="00DD6FE3">
        <w:t>tributions</w:t>
      </w:r>
      <w:r w:rsidR="002658E6">
        <w:t xml:space="preserve"> from b</w:t>
      </w:r>
      <w:r w:rsidR="00122320">
        <w:t>ootstrap</w:t>
      </w:r>
      <w:r w:rsidR="00CC07DC">
        <w:t xml:space="preserve"> simulations</w:t>
      </w:r>
      <w:r w:rsidR="00CC07DC">
        <w:fldChar w:fldCharType="begin" w:fldLock="1"/>
      </w:r>
      <w:r w:rsidR="0012274B">
        <w:instrText>ADDIN CSL_CITATION { "citationItems" : [ { "id" : "ITEM-1", "itemData" : { "ISBN" : "0521880688", "abstract" : "Do you want easy access to the latest methods in scientific computing? This greatly expanded third edition of Numerical Recipes has it, with wider coverage than ever before, many new, expanded and updated sections, and two completely new chapters. The executable C++ code, now printed in color for easy reading, adopts an object-oriented style particularly suited to scientific applications. Co-authored by four leading scientists from academia and industry, Numerical Recipes starts with basic mathematics and computer science and proceeds to complete, working routines. The whole book is presented in the informal, easy-to-read style that made earlier editions so popular. Highlights of the new material include: a new chapter on classification and inference, Gaussian mixture models, HMMs, hierarchical clustering, and SVMs; a new chapter on computational geometry, covering KD trees, quad- and octrees, Delaunay triangulation, and algorithms for lines, polygons, triangles, and spheres; interior point methods for linear programming; MCMC; an expanded treatment of ODEs with completely new routines; and many new statistical distributions.", "author" : [ { "dropping-particle" : "", "family" : "Press", "given" : "William H", "non-dropping-particle" : "", "parse-names" : false, "suffix" : "" }, { "dropping-particle" : "", "family" : "Teukolsky", "given" : "Saul A", "non-dropping-particle" : "", "parse-names" : false, "suffix" : "" }, { "dropping-particle" : "", "family" : "Vetterling", "given" : "William T", "non-dropping-particle" : "", "parse-names" : false, "suffix" : "" }, { "dropping-particle" : "", "family" : "Flannery", "given" : "Brian P", "non-dropping-particle" : "", "parse-names" : false, "suffix" : "" } ], "container-title" : "Sample page from NUMBERICAL RECIPES IN C", "id" : "ITEM-1", "issued" : { "date-parts" : [ [ "2007" ] ] }, "page" : "1262", "publisher" : "Cambridge University Press", "title" : "Numerical Recipes 3rd Edition: The Art of Scientific Computing", "type" : "book", "volume" : "1" }, "uris" : [ "http://www.mendeley.com/documents/?uuid=89d7f125-4466-41bf-9c6b-ac993be9cc87" ] } ], "mendeley" : { "previouslyFormattedCitation" : "[10]" }, "properties" : { "noteIndex" : 0 }, "schema" : "https://github.com/citation-style-language/schema/raw/master/csl-citation.json" }</w:instrText>
      </w:r>
      <w:r w:rsidR="00CC07DC">
        <w:fldChar w:fldCharType="separate"/>
      </w:r>
      <w:r w:rsidR="0012274B" w:rsidRPr="0012274B">
        <w:rPr>
          <w:noProof/>
        </w:rPr>
        <w:t>[10]</w:t>
      </w:r>
      <w:r w:rsidR="00CC07DC">
        <w:fldChar w:fldCharType="end"/>
      </w:r>
      <w:r w:rsidR="00CC07DC">
        <w:t xml:space="preserve"> </w:t>
      </w:r>
      <w:r w:rsidR="00122320">
        <w:t>of</w:t>
      </w:r>
      <w:r w:rsidR="00CC07DC">
        <w:t xml:space="preserve"> the experimental RD data.  </w:t>
      </w:r>
      <w:r w:rsidR="00CC07DC" w:rsidRPr="00CC07DC">
        <w:rPr>
          <w:i/>
        </w:rPr>
        <w:t>p</w:t>
      </w:r>
      <w:r w:rsidR="00CC07DC" w:rsidRPr="00CC07DC">
        <w:rPr>
          <w:i/>
          <w:vertAlign w:val="subscript"/>
        </w:rPr>
        <w:t>I</w:t>
      </w:r>
      <w:r w:rsidR="00CC07DC">
        <w:t xml:space="preserve"> and </w:t>
      </w:r>
      <w:r w:rsidR="00CC07DC" w:rsidRPr="00CC07DC">
        <w:rPr>
          <w:i/>
        </w:rPr>
        <w:t>k</w:t>
      </w:r>
      <w:r w:rsidR="00CC07DC" w:rsidRPr="00CC07DC">
        <w:rPr>
          <w:i/>
          <w:vertAlign w:val="subscript"/>
        </w:rPr>
        <w:t>ex</w:t>
      </w:r>
      <w:r w:rsidR="00CC07DC">
        <w:t xml:space="preserve"> values derived from</w:t>
      </w:r>
      <w:r w:rsidR="00125FB0">
        <w:t xml:space="preserve"> fits of</w:t>
      </w:r>
      <w:r w:rsidR="00CC07DC">
        <w:t xml:space="preserve"> </w:t>
      </w:r>
      <w:r w:rsidR="00CC07DC">
        <w:rPr>
          <w:vertAlign w:val="superscript"/>
        </w:rPr>
        <w:t>13</w:t>
      </w:r>
      <w:r w:rsidR="00CC07DC">
        <w:t xml:space="preserve">C RD (A) </w:t>
      </w:r>
      <w:r w:rsidR="00125FB0">
        <w:t>or</w:t>
      </w:r>
      <w:r w:rsidR="00CC07DC">
        <w:t xml:space="preserve"> </w:t>
      </w:r>
      <w:r w:rsidR="00CC07DC">
        <w:rPr>
          <w:vertAlign w:val="superscript"/>
        </w:rPr>
        <w:t>1</w:t>
      </w:r>
      <w:r w:rsidR="00CC07DC">
        <w:t xml:space="preserve">H RD (B) simulated data sets of FF dissolved in buffer (blue circles), 100 g/L </w:t>
      </w:r>
      <w:r w:rsidR="00CC07DC">
        <w:rPr>
          <w:i/>
        </w:rPr>
        <w:t>E. coli</w:t>
      </w:r>
      <w:r w:rsidR="00CC07DC">
        <w:t xml:space="preserve"> lysate (red </w:t>
      </w:r>
      <w:r w:rsidR="00A22796">
        <w:t>diamonds</w:t>
      </w:r>
      <w:r w:rsidR="00CC07DC">
        <w:t xml:space="preserve">), or 100 g/L </w:t>
      </w:r>
      <w:r w:rsidR="00CC07DC">
        <w:rPr>
          <w:i/>
        </w:rPr>
        <w:t>S. cerevisiae</w:t>
      </w:r>
      <w:r w:rsidR="00CC07DC">
        <w:t xml:space="preserve"> lysate</w:t>
      </w:r>
      <w:r w:rsidR="00122320">
        <w:t xml:space="preserve"> (green </w:t>
      </w:r>
      <w:r w:rsidR="00A22796">
        <w:t>squares</w:t>
      </w:r>
      <w:r w:rsidR="00122320">
        <w:t>)</w:t>
      </w:r>
      <w:r w:rsidR="00CC07DC">
        <w:t xml:space="preserve">.  Histograms show the distribution of </w:t>
      </w:r>
      <w:r w:rsidR="00CC07DC" w:rsidRPr="00CC07DC">
        <w:rPr>
          <w:i/>
        </w:rPr>
        <w:t>p</w:t>
      </w:r>
      <w:r w:rsidR="00CC07DC" w:rsidRPr="00CC07DC">
        <w:rPr>
          <w:i/>
          <w:vertAlign w:val="subscript"/>
        </w:rPr>
        <w:t>I</w:t>
      </w:r>
      <w:r w:rsidR="00CC07DC">
        <w:t xml:space="preserve"> </w:t>
      </w:r>
      <w:r w:rsidR="00F2283B">
        <w:t xml:space="preserve">(right) </w:t>
      </w:r>
      <w:r w:rsidR="00CC07DC">
        <w:t xml:space="preserve">and </w:t>
      </w:r>
      <w:r w:rsidR="00CC07DC" w:rsidRPr="00CC07DC">
        <w:rPr>
          <w:i/>
        </w:rPr>
        <w:t>k</w:t>
      </w:r>
      <w:r w:rsidR="00CC07DC" w:rsidRPr="00CC07DC">
        <w:rPr>
          <w:i/>
          <w:vertAlign w:val="subscript"/>
        </w:rPr>
        <w:t>ex</w:t>
      </w:r>
      <w:r w:rsidR="00CC07DC">
        <w:t xml:space="preserve"> </w:t>
      </w:r>
      <w:r w:rsidR="00F2283B">
        <w:t xml:space="preserve">(top) </w:t>
      </w:r>
      <w:r w:rsidR="00125FB0">
        <w:t>for</w:t>
      </w:r>
      <w:r w:rsidR="00CC07DC">
        <w:t xml:space="preserve"> each simulation.  </w:t>
      </w:r>
      <w:r w:rsidR="00CC07DC" w:rsidRPr="00CC07DC">
        <w:t>The</w:t>
      </w:r>
      <w:r w:rsidR="00CC07DC">
        <w:t xml:space="preserve"> black points in each graph denote optimal </w:t>
      </w:r>
      <w:r w:rsidR="00CC07DC">
        <w:rPr>
          <w:i/>
        </w:rPr>
        <w:t>p</w:t>
      </w:r>
      <w:r w:rsidR="00CC07DC">
        <w:rPr>
          <w:i/>
          <w:vertAlign w:val="subscript"/>
        </w:rPr>
        <w:t>I</w:t>
      </w:r>
      <w:r w:rsidR="00CC07DC">
        <w:t xml:space="preserve"> and </w:t>
      </w:r>
      <w:r w:rsidR="00CC07DC">
        <w:rPr>
          <w:i/>
        </w:rPr>
        <w:t>k</w:t>
      </w:r>
      <w:r w:rsidR="00CC07DC">
        <w:rPr>
          <w:i/>
          <w:vertAlign w:val="subscript"/>
        </w:rPr>
        <w:t>ex</w:t>
      </w:r>
      <w:r w:rsidR="00CC07DC">
        <w:t xml:space="preserve"> values</w:t>
      </w:r>
      <w:r w:rsidR="00122320">
        <w:t xml:space="preserve"> obtained from the fit</w:t>
      </w:r>
      <w:r w:rsidR="00CC07DC">
        <w:t xml:space="preserve">, with horizontal </w:t>
      </w:r>
      <w:r w:rsidR="00CC07DC" w:rsidRPr="00D5174A">
        <w:t xml:space="preserve">and vertical lines </w:t>
      </w:r>
      <w:r w:rsidR="00DD6FE3">
        <w:t>depicting</w:t>
      </w:r>
      <w:r w:rsidR="00CC07DC" w:rsidRPr="00D5174A">
        <w:t xml:space="preserve"> errors based on the covariance matrix method</w:t>
      </w:r>
      <w:r w:rsidR="0012274B">
        <w:t xml:space="preserve"> </w:t>
      </w:r>
      <w:r w:rsidR="0012274B">
        <w:fldChar w:fldCharType="begin" w:fldLock="1"/>
      </w:r>
      <w:r w:rsidR="0012274B">
        <w:instrText>ADDIN CSL_CITATION { "citationItems" : [ { "id" : "ITEM-1", "itemData" : { "ISBN" : "0521880688", "abstract" : "Do you want easy access to the latest methods in scientific computing? This greatly expanded third edition of Numerical Recipes has it, with wider coverage than ever before, many new, expanded and updated sections, and two completely new chapters. The executable C++ code, now printed in color for easy reading, adopts an object-oriented style particularly suited to scientific applications. Co-authored by four leading scientists from academia and industry, Numerical Recipes starts with basic mathematics and computer science and proceeds to complete, working routines. The whole book is presented in the informal, easy-to-read style that made earlier editions so popular. Highlights of the new material include: a new chapter on classification and inference, Gaussian mixture models, HMMs, hierarchical clustering, and SVMs; a new chapter on computational geometry, covering KD trees, quad- and octrees, Delaunay triangulation, and algorithms for lines, polygons, triangles, and spheres; interior point methods for linear programming; MCMC; an expanded treatment of ODEs with completely new routines; and many new statistical distributions.", "author" : [ { "dropping-particle" : "", "family" : "Press", "given" : "William H", "non-dropping-particle" : "", "parse-names" : false, "suffix" : "" }, { "dropping-particle" : "", "family" : "Teukolsky", "given" : "Saul A", "non-dropping-particle" : "", "parse-names" : false, "suffix" : "" }, { "dropping-particle" : "", "family" : "Vetterling", "given" : "William T", "non-dropping-particle" : "", "parse-names" : false, "suffix" : "" }, { "dropping-particle" : "", "family" : "Flannery", "given" : "Brian P", "non-dropping-particle" : "", "parse-names" : false, "suffix" : "" } ], "container-title" : "Sample page from NUMBERICAL RECIPES IN C", "id" : "ITEM-1", "issued" : { "date-parts" : [ [ "2007" ] ] }, "page" : "1262", "publisher" : "Cambridge University Press", "title" : "Numerical Recipes 3rd Edition: The Art of Scientific Computing", "type" : "book", "volume" : "1" }, "uris" : [ "http://www.mendeley.com/documents/?uuid=89d7f125-4466-41bf-9c6b-ac993be9cc87" ] } ], "mendeley" : { "previouslyFormattedCitation" : "[10]" }, "properties" : { "noteIndex" : 0 }, "schema" : "https://github.com/citation-style-language/schema/raw/master/csl-citation.json" }</w:instrText>
      </w:r>
      <w:r w:rsidR="0012274B">
        <w:fldChar w:fldCharType="separate"/>
      </w:r>
      <w:r w:rsidR="0012274B" w:rsidRPr="0012274B">
        <w:rPr>
          <w:noProof/>
        </w:rPr>
        <w:t>[10]</w:t>
      </w:r>
      <w:r w:rsidR="0012274B">
        <w:fldChar w:fldCharType="end"/>
      </w:r>
      <w:r w:rsidR="00CC07DC" w:rsidRPr="00D5174A">
        <w:t>.</w:t>
      </w:r>
      <w:r w:rsidR="00125FB0">
        <w:t xml:space="preserve"> Note that separate lysate samples were used for </w:t>
      </w:r>
      <w:r w:rsidR="00125FB0" w:rsidRPr="00125FB0">
        <w:rPr>
          <w:vertAlign w:val="superscript"/>
        </w:rPr>
        <w:t>13</w:t>
      </w:r>
      <w:r w:rsidR="00125FB0">
        <w:t xml:space="preserve">C and </w:t>
      </w:r>
      <w:r w:rsidR="00125FB0" w:rsidRPr="00125FB0">
        <w:rPr>
          <w:vertAlign w:val="superscript"/>
        </w:rPr>
        <w:t>1</w:t>
      </w:r>
      <w:r w:rsidR="00125FB0">
        <w:t>H RD experiments, as they involve differently labeled samples.</w:t>
      </w:r>
      <w:r w:rsidR="00AF5603">
        <w:t xml:space="preserve"> Some differences in (</w:t>
      </w:r>
      <w:r w:rsidR="00AF5603" w:rsidRPr="002658E6">
        <w:rPr>
          <w:i/>
        </w:rPr>
        <w:t>p</w:t>
      </w:r>
      <w:r w:rsidR="00AF5603" w:rsidRPr="002658E6">
        <w:rPr>
          <w:i/>
          <w:vertAlign w:val="subscript"/>
        </w:rPr>
        <w:t>I</w:t>
      </w:r>
      <w:r w:rsidR="00AF5603">
        <w:t>,</w:t>
      </w:r>
      <w:r w:rsidR="00AF5603" w:rsidRPr="002658E6">
        <w:rPr>
          <w:i/>
        </w:rPr>
        <w:t>k</w:t>
      </w:r>
      <w:r w:rsidR="00AF5603" w:rsidRPr="002658E6">
        <w:rPr>
          <w:i/>
          <w:vertAlign w:val="subscript"/>
        </w:rPr>
        <w:t>ex</w:t>
      </w:r>
      <w:r w:rsidR="00AF5603">
        <w:t>) values are thus not surprising.</w:t>
      </w:r>
      <w:r>
        <w:br w:type="page"/>
      </w:r>
    </w:p>
    <w:p w14:paraId="6414A6D5" w14:textId="60FB73B5" w:rsidR="00945802" w:rsidRDefault="003B722A" w:rsidP="00945802">
      <w:pPr>
        <w:spacing w:before="240"/>
      </w:pPr>
      <w:r>
        <w:rPr>
          <w:noProof/>
        </w:rPr>
        <w:drawing>
          <wp:anchor distT="0" distB="0" distL="114300" distR="114300" simplePos="0" relativeHeight="251658240" behindDoc="0" locked="0" layoutInCell="1" allowOverlap="1" wp14:anchorId="18527117" wp14:editId="61C64652">
            <wp:simplePos x="0" y="0"/>
            <wp:positionH relativeFrom="margin">
              <wp:align>center</wp:align>
            </wp:positionH>
            <wp:positionV relativeFrom="margin">
              <wp:align>top</wp:align>
            </wp:positionV>
            <wp:extent cx="3201670" cy="402272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3.tif"/>
                    <pic:cNvPicPr/>
                  </pic:nvPicPr>
                  <pic:blipFill rotWithShape="1">
                    <a:blip r:embed="rId12">
                      <a:extLst>
                        <a:ext uri="{28A0092B-C50C-407E-A947-70E740481C1C}">
                          <a14:useLocalDpi xmlns:a14="http://schemas.microsoft.com/office/drawing/2010/main" val="0"/>
                        </a:ext>
                      </a:extLst>
                    </a:blip>
                    <a:srcRect l="20220" r="53642" b="35249"/>
                    <a:stretch/>
                  </pic:blipFill>
                  <pic:spPr bwMode="auto">
                    <a:xfrm>
                      <a:off x="0" y="0"/>
                      <a:ext cx="3201670" cy="402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5113BF" w14:textId="0756E3DA" w:rsidR="00945802" w:rsidRDefault="005B5E00" w:rsidP="00B661A0">
      <w:pPr>
        <w:spacing w:before="240"/>
        <w:jc w:val="both"/>
      </w:pPr>
      <w:r>
        <w:rPr>
          <w:b/>
        </w:rPr>
        <w:t>Supplemental Figure 2</w:t>
      </w:r>
      <w:r w:rsidR="00945802">
        <w:rPr>
          <w:b/>
        </w:rPr>
        <w:t xml:space="preserve">.  </w:t>
      </w:r>
      <w:r w:rsidR="00945802">
        <w:t xml:space="preserve">The </w:t>
      </w:r>
      <w:r w:rsidR="00B661A0">
        <w:t xml:space="preserve">average </w:t>
      </w:r>
      <w:r w:rsidR="00945802">
        <w:t xml:space="preserve">structure of the </w:t>
      </w:r>
      <w:r w:rsidR="00945802" w:rsidRPr="00B661A0">
        <w:rPr>
          <w:i/>
        </w:rPr>
        <w:t>N</w:t>
      </w:r>
      <w:r w:rsidR="00945802">
        <w:t xml:space="preserve"> state is unaffected in </w:t>
      </w:r>
      <w:r w:rsidR="00945802">
        <w:rPr>
          <w:i/>
        </w:rPr>
        <w:t>S. cerevisiae</w:t>
      </w:r>
      <w:r w:rsidR="00945802">
        <w:t xml:space="preserve"> lysate.  Overlay of 2D </w:t>
      </w:r>
      <w:r w:rsidR="00945802">
        <w:rPr>
          <w:vertAlign w:val="superscript"/>
        </w:rPr>
        <w:t>13</w:t>
      </w:r>
      <w:r w:rsidR="00945802">
        <w:t>C-</w:t>
      </w:r>
      <w:r w:rsidR="00945802">
        <w:rPr>
          <w:vertAlign w:val="superscript"/>
        </w:rPr>
        <w:t>1</w:t>
      </w:r>
      <w:r w:rsidR="00945802">
        <w:t xml:space="preserve">H correlation spectra of </w:t>
      </w:r>
      <w:r w:rsidR="00945802">
        <w:rPr>
          <w:rFonts w:eastAsia="Times New Roman"/>
        </w:rPr>
        <w:t>U-[</w:t>
      </w:r>
      <w:r w:rsidR="00945802">
        <w:rPr>
          <w:rFonts w:eastAsia="Times New Roman"/>
          <w:vertAlign w:val="superscript"/>
        </w:rPr>
        <w:t>2</w:t>
      </w:r>
      <w:r w:rsidR="00945802">
        <w:rPr>
          <w:rFonts w:eastAsia="Times New Roman"/>
        </w:rPr>
        <w:t>H,</w:t>
      </w:r>
      <w:r w:rsidR="00945802">
        <w:rPr>
          <w:rFonts w:eastAsia="Times New Roman"/>
          <w:vertAlign w:val="superscript"/>
        </w:rPr>
        <w:t>15</w:t>
      </w:r>
      <w:r w:rsidR="00945802">
        <w:rPr>
          <w:rFonts w:eastAsia="Times New Roman"/>
        </w:rPr>
        <w:t>N]</w:t>
      </w:r>
      <w:r w:rsidR="00B661A0">
        <w:rPr>
          <w:rFonts w:eastAsia="Times New Roman"/>
        </w:rPr>
        <w:t>;</w:t>
      </w:r>
      <w:r w:rsidR="00945802">
        <w:rPr>
          <w:rFonts w:eastAsia="Times New Roman"/>
        </w:rPr>
        <w:t xml:space="preserve"> Ile</w:t>
      </w:r>
      <w:r w:rsidR="00945802" w:rsidRPr="00204E0D">
        <w:rPr>
          <w:rFonts w:ascii="Symbol" w:eastAsia="Times New Roman" w:hAnsi="Symbol"/>
        </w:rPr>
        <w:t></w:t>
      </w:r>
      <w:r w:rsidR="00945802">
        <w:rPr>
          <w:rFonts w:eastAsia="Times New Roman"/>
        </w:rPr>
        <w:t>1-[</w:t>
      </w:r>
      <w:r w:rsidR="00945802" w:rsidRPr="00AA3187">
        <w:rPr>
          <w:rFonts w:eastAsia="Times New Roman"/>
          <w:vertAlign w:val="superscript"/>
        </w:rPr>
        <w:t>13</w:t>
      </w:r>
      <w:r w:rsidR="00945802">
        <w:rPr>
          <w:rFonts w:eastAsia="Times New Roman"/>
        </w:rPr>
        <w:t>CH</w:t>
      </w:r>
      <w:r w:rsidR="00945802">
        <w:rPr>
          <w:rFonts w:eastAsia="Times New Roman"/>
          <w:vertAlign w:val="subscript"/>
        </w:rPr>
        <w:t>3</w:t>
      </w:r>
      <w:r w:rsidR="00945802">
        <w:rPr>
          <w:rFonts w:eastAsia="Times New Roman"/>
        </w:rPr>
        <w:t>], Leu</w:t>
      </w:r>
      <w:r w:rsidR="00945802" w:rsidRPr="00204E0D">
        <w:rPr>
          <w:rFonts w:ascii="Symbol" w:eastAsia="Times New Roman" w:hAnsi="Symbol"/>
        </w:rPr>
        <w:t></w:t>
      </w:r>
      <w:r w:rsidR="00945802">
        <w:rPr>
          <w:rFonts w:eastAsia="Times New Roman"/>
        </w:rPr>
        <w:t>/Val</w:t>
      </w:r>
      <w:r w:rsidR="00945802" w:rsidRPr="00204E0D">
        <w:rPr>
          <w:rFonts w:ascii="Symbol" w:eastAsia="Times New Roman" w:hAnsi="Symbol"/>
        </w:rPr>
        <w:t></w:t>
      </w:r>
      <w:r w:rsidR="00945802">
        <w:rPr>
          <w:rFonts w:eastAsia="Times New Roman"/>
        </w:rPr>
        <w:t>-[</w:t>
      </w:r>
      <w:r w:rsidR="00945802">
        <w:rPr>
          <w:rFonts w:eastAsia="Times New Roman"/>
          <w:vertAlign w:val="superscript"/>
        </w:rPr>
        <w:t>13</w:t>
      </w:r>
      <w:r w:rsidR="00945802">
        <w:rPr>
          <w:rFonts w:eastAsia="Times New Roman"/>
        </w:rPr>
        <w:t>CH</w:t>
      </w:r>
      <w:r w:rsidR="00945802">
        <w:rPr>
          <w:rFonts w:eastAsia="Times New Roman"/>
          <w:vertAlign w:val="subscript"/>
        </w:rPr>
        <w:t>3</w:t>
      </w:r>
      <w:r w:rsidR="00945802">
        <w:rPr>
          <w:rFonts w:eastAsia="Times New Roman"/>
        </w:rPr>
        <w:t>,</w:t>
      </w:r>
      <w:r w:rsidR="00945802">
        <w:rPr>
          <w:rFonts w:eastAsia="Times New Roman"/>
          <w:vertAlign w:val="superscript"/>
        </w:rPr>
        <w:t>12</w:t>
      </w:r>
      <w:r w:rsidR="00945802">
        <w:rPr>
          <w:rFonts w:eastAsia="Times New Roman"/>
        </w:rPr>
        <w:t>CD</w:t>
      </w:r>
      <w:r w:rsidR="00945802">
        <w:rPr>
          <w:rFonts w:eastAsia="Times New Roman"/>
          <w:vertAlign w:val="subscript"/>
        </w:rPr>
        <w:t>3</w:t>
      </w:r>
      <w:r w:rsidR="00945802">
        <w:rPr>
          <w:rFonts w:eastAsia="Times New Roman"/>
        </w:rPr>
        <w:t>], Met</w:t>
      </w:r>
      <w:r w:rsidR="00945802" w:rsidRPr="00204E0D">
        <w:rPr>
          <w:rFonts w:ascii="Symbol" w:eastAsia="Times New Roman" w:hAnsi="Symbol"/>
        </w:rPr>
        <w:t></w:t>
      </w:r>
      <w:r w:rsidR="00945802">
        <w:rPr>
          <w:rFonts w:eastAsia="Times New Roman"/>
        </w:rPr>
        <w:t>-[</w:t>
      </w:r>
      <w:r w:rsidR="00945802">
        <w:rPr>
          <w:rFonts w:eastAsia="Times New Roman"/>
          <w:vertAlign w:val="superscript"/>
        </w:rPr>
        <w:t>13</w:t>
      </w:r>
      <w:r w:rsidR="00945802">
        <w:rPr>
          <w:rFonts w:eastAsia="Times New Roman"/>
        </w:rPr>
        <w:t>CH</w:t>
      </w:r>
      <w:r w:rsidR="00945802">
        <w:rPr>
          <w:rFonts w:eastAsia="Times New Roman"/>
          <w:vertAlign w:val="subscript"/>
        </w:rPr>
        <w:t>3</w:t>
      </w:r>
      <w:r w:rsidR="007750CF">
        <w:rPr>
          <w:rFonts w:eastAsia="Times New Roman"/>
        </w:rPr>
        <w:t>]</w:t>
      </w:r>
      <w:r w:rsidR="00945802">
        <w:rPr>
          <w:rFonts w:eastAsia="Times New Roman"/>
        </w:rPr>
        <w:t>– labeled</w:t>
      </w:r>
      <w:r w:rsidR="00945802">
        <w:t xml:space="preserve"> FF domain </w:t>
      </w:r>
      <w:r w:rsidR="00B661A0">
        <w:t xml:space="preserve">recorded </w:t>
      </w:r>
      <w:r w:rsidR="00945802">
        <w:t>at 14.1 T</w:t>
      </w:r>
      <w:r w:rsidR="00153983">
        <w:t>,</w:t>
      </w:r>
      <w:r w:rsidR="00945802">
        <w:t xml:space="preserve"> 30 </w:t>
      </w:r>
      <w:r w:rsidR="00945802">
        <w:rPr>
          <w:rFonts w:ascii="Cambria" w:hAnsi="Cambria"/>
        </w:rPr>
        <w:t>°</w:t>
      </w:r>
      <w:r w:rsidR="00945802">
        <w:t>C</w:t>
      </w:r>
      <w:r w:rsidR="002F5F00">
        <w:t>. Samples</w:t>
      </w:r>
      <w:r w:rsidR="00945802">
        <w:t xml:space="preserve"> </w:t>
      </w:r>
      <w:r w:rsidR="002F5F00">
        <w:t>were</w:t>
      </w:r>
      <w:r w:rsidR="00B661A0">
        <w:t xml:space="preserve"> </w:t>
      </w:r>
      <w:r w:rsidR="00945802">
        <w:t xml:space="preserve">dissolved in buffer (single blue contours) or 100 g/L </w:t>
      </w:r>
      <w:r w:rsidR="00945802">
        <w:rPr>
          <w:i/>
        </w:rPr>
        <w:t>S. cerevisiae</w:t>
      </w:r>
      <w:r w:rsidR="00945802">
        <w:t xml:space="preserve"> lysate (green</w:t>
      </w:r>
      <w:r w:rsidR="00B661A0">
        <w:t>)</w:t>
      </w:r>
      <w:r w:rsidR="00945802">
        <w:t>.</w:t>
      </w:r>
      <w:r w:rsidR="0016509C">
        <w:t xml:space="preserve"> Peaks of opposite phase to those in green are shown in orange.</w:t>
      </w:r>
    </w:p>
    <w:p w14:paraId="4C6F3C1C" w14:textId="77777777" w:rsidR="00945802" w:rsidRDefault="00945802" w:rsidP="00B661A0">
      <w:pPr>
        <w:jc w:val="both"/>
      </w:pPr>
      <w:r>
        <w:br w:type="page"/>
      </w:r>
    </w:p>
    <w:p w14:paraId="6261E113" w14:textId="00859055" w:rsidR="00945802" w:rsidRDefault="003B722A" w:rsidP="00945802">
      <w:pPr>
        <w:spacing w:before="240"/>
        <w:rPr>
          <w:b/>
        </w:rPr>
      </w:pPr>
      <w:r>
        <w:rPr>
          <w:b/>
          <w:noProof/>
        </w:rPr>
        <w:drawing>
          <wp:inline distT="0" distB="0" distL="0" distR="0" wp14:anchorId="1EFEC048" wp14:editId="44DC0153">
            <wp:extent cx="5486400" cy="2453005"/>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4.tif"/>
                    <pic:cNvPicPr/>
                  </pic:nvPicPr>
                  <pic:blipFill>
                    <a:blip r:embed="rId13">
                      <a:extLst>
                        <a:ext uri="{28A0092B-C50C-407E-A947-70E740481C1C}">
                          <a14:useLocalDpi xmlns:a14="http://schemas.microsoft.com/office/drawing/2010/main" val="0"/>
                        </a:ext>
                      </a:extLst>
                    </a:blip>
                    <a:stretch>
                      <a:fillRect/>
                    </a:stretch>
                  </pic:blipFill>
                  <pic:spPr>
                    <a:xfrm>
                      <a:off x="0" y="0"/>
                      <a:ext cx="5486400" cy="2453005"/>
                    </a:xfrm>
                    <a:prstGeom prst="rect">
                      <a:avLst/>
                    </a:prstGeom>
                  </pic:spPr>
                </pic:pic>
              </a:graphicData>
            </a:graphic>
          </wp:inline>
        </w:drawing>
      </w:r>
    </w:p>
    <w:p w14:paraId="60048D1D" w14:textId="4210CAAE" w:rsidR="0087103C" w:rsidRPr="0087103C" w:rsidRDefault="005B5E00" w:rsidP="0016509C">
      <w:pPr>
        <w:spacing w:before="240"/>
        <w:jc w:val="both"/>
      </w:pPr>
      <w:r>
        <w:rPr>
          <w:b/>
        </w:rPr>
        <w:t>Supplemental Figure 3</w:t>
      </w:r>
      <w:r w:rsidR="00945802" w:rsidRPr="00E03C2A">
        <w:rPr>
          <w:b/>
        </w:rPr>
        <w:t>.</w:t>
      </w:r>
      <w:r w:rsidR="00945802">
        <w:t xml:space="preserve">  Monitoring the </w:t>
      </w:r>
      <w:r w:rsidR="00945802" w:rsidRPr="0016509C">
        <w:rPr>
          <w:i/>
        </w:rPr>
        <w:t>N</w:t>
      </w:r>
      <w:r w:rsidR="00945802">
        <w:t>-</w:t>
      </w:r>
      <w:r w:rsidR="00945802" w:rsidRPr="0016509C">
        <w:rPr>
          <w:i/>
        </w:rPr>
        <w:t>I</w:t>
      </w:r>
      <w:r w:rsidR="00945802">
        <w:t xml:space="preserve"> transition in </w:t>
      </w:r>
      <w:r w:rsidR="0016509C">
        <w:rPr>
          <w:i/>
        </w:rPr>
        <w:t>S. cerevisiae</w:t>
      </w:r>
      <w:r w:rsidR="0016509C">
        <w:t xml:space="preserve"> lysate</w:t>
      </w:r>
      <w:r w:rsidR="00945802">
        <w:t xml:space="preserve">. Representative </w:t>
      </w:r>
      <w:r w:rsidR="00945802">
        <w:rPr>
          <w:vertAlign w:val="superscript"/>
        </w:rPr>
        <w:t>13</w:t>
      </w:r>
      <w:r w:rsidR="00945802">
        <w:t>C RD</w:t>
      </w:r>
      <w:r w:rsidR="0012274B">
        <w:t xml:space="preserve"> </w:t>
      </w:r>
      <w:r w:rsidR="00550FE6">
        <w:fldChar w:fldCharType="begin" w:fldLock="1"/>
      </w:r>
      <w:r w:rsidR="0012274B">
        <w:instrText>ADDIN CSL_CITATION { "citationItems" : [ { "id" : "ITEM-1", "itemData" : { "DOI" : "10.1007/s10858-007-9149-7", "ISSN" : "0925-2738", "PMID" : "17464570", "abstract" : "A pulse sequence is described for recording single-quantum (13)C-methyl relaxation dispersion profiles of (13)C-selectively labeled methyl groups in proteins that offers significant improvements in sensitivity relative to existing approaches where initial magnetization derives from (13)C polarization. Sensitivity gains in the new experiment are achieved by making use of polarization from (1)H spins and (1)H --&gt; (13)C --&gt; (1)H type magnetization transfers. Its utility has been established by applications involving three different protein systems ranging in molecular weight from 8 to 28 kDa, produced using a number of different selective labeling approaches. In all cases exchange parameters from both (13)C--&gt;(1)H and (1)H --&gt; (13)C --&gt; (1)H classes of experiment are in good agreement, with gains in sensitivity of between 1.7 and 4-fold realized using the new scheme.", "author" : [ { "dropping-particle" : "", "family" : "Lundstr\u00f6m", "given" : "Patrik", "non-dropping-particle" : "", "parse-names" : false, "suffix" : "" }, { "dropping-particle" : "", "family" : "Vallurupalli", "given" : "Pramodh", "non-dropping-particle" : "", "parse-names" : false, "suffix" : "" }, { "dropping-particle" : "", "family" : "Religa", "given" : "Tomasz L", "non-dropping-particle" : "", "parse-names" : false, "suffix" : "" }, { "dropping-particle" : "", "family" : "Dahlquist", "given" : "Frederick W", "non-dropping-particle" : "", "parse-names" : false, "suffix" : "" }, { "dropping-particle" : "", "family" : "Kay", "given" : "Lewis E", "non-dropping-particle" : "", "parse-names" : false, "suffix" : "" } ], "container-title" : "Journal of biomolecular NMR", "id" : "ITEM-1", "issue" : "1", "issued" : { "date-parts" : [ [ "2007", "5" ] ] }, "page" : "79-88", "title" : "A single-quantum methyl 13C-relaxation dispersion experiment with improved sensitivity.", "type" : "article-journal", "volume" : "38" }, "uris" : [ "http://www.mendeley.com/documents/?uuid=60b39971-be07-457b-aedd-af1b3677fc05" ] } ], "mendeley" : { "previouslyFormattedCitation" : "[3]" }, "properties" : { "noteIndex" : 0 }, "schema" : "https://github.com/citation-style-language/schema/raw/master/csl-citation.json" }</w:instrText>
      </w:r>
      <w:r w:rsidR="00550FE6">
        <w:fldChar w:fldCharType="separate"/>
      </w:r>
      <w:r w:rsidR="0012274B" w:rsidRPr="0012274B">
        <w:rPr>
          <w:noProof/>
        </w:rPr>
        <w:t>[3]</w:t>
      </w:r>
      <w:r w:rsidR="00550FE6">
        <w:fldChar w:fldCharType="end"/>
      </w:r>
      <w:r w:rsidR="00945802">
        <w:t xml:space="preserve"> (A) and </w:t>
      </w:r>
      <w:r w:rsidR="00945802">
        <w:rPr>
          <w:vertAlign w:val="superscript"/>
        </w:rPr>
        <w:t>1</w:t>
      </w:r>
      <w:r w:rsidR="00945802">
        <w:t>H RD</w:t>
      </w:r>
      <w:r w:rsidR="0012274B">
        <w:t xml:space="preserve"> </w:t>
      </w:r>
      <w:bookmarkStart w:id="0" w:name="_GoBack"/>
      <w:bookmarkEnd w:id="0"/>
      <w:r w:rsidR="00550FE6">
        <w:fldChar w:fldCharType="begin" w:fldLock="1"/>
      </w:r>
      <w:r w:rsidR="0012274B">
        <w:instrText>ADDIN CSL_CITATION { "citationItems" : [ { "id" : "ITEM-1", "itemData" : { "DOI" : "10.1021/ja104578n", "ISSN" : "1520-5126", "PMID" : "20698653", "abstract" : "A pulse scheme is presented for quantifying millisecond time scale chemical exchange processes in proteins by measuring (1)H CPMG relaxation dispersion profiles of (13)CHD(2) methyl groups. The use of (13)CHD(2) isotopomers for (1)H methyl dispersion experiments eliminates problems with interconversion between differentially relaxing proton transitions that complicate the extraction of accurate exchange parameters when (13)CH(3) probes are used. Good agreement is demonstrated between extracted chemical shift differences from fits of dispersion profiles and the corresponding differences measured independently on a model exchanging system, validating the experiment. The methodology is applied to the gating residues of the T. acidiphilium proteasome that are shown to undergo extensive motion on the millisecond time scale.", "author" : [ { "dropping-particle" : "", "family" : "Baldwin", "given" : "Andrew J", "non-dropping-particle" : "", "parse-names" : false, "suffix" : "" }, { "dropping-particle" : "", "family" : "Religa", "given" : "Tomasz L", "non-dropping-particle" : "", "parse-names" : false, "suffix" : "" }, { "dropping-particle" : "", "family" : "Hansen", "given" : "D Flemming", "non-dropping-particle" : "", "parse-names" : false, "suffix" : "" }, { "dropping-particle" : "", "family" : "Bouvignies", "given" : "Guillaume", "non-dropping-particle" : "", "parse-names" : false, "suffix" : "" }, { "dropping-particle" : "", "family" : "Kay", "given" : "Lewis E", "non-dropping-particle" : "", "parse-names" : false, "suffix" : "" } ], "container-title" : "Journal of the American Chemical Society", "id" : "ITEM-1", "issue" : "32", "issued" : { "date-parts" : [ [ "2010", "8" ] ] }, "page" : "10992-5", "title" : "(13)CHD(2) methyl group probes of millisecond time scale exchange in proteins by (1)H relaxation dispersion: an application to proteasome gating residue dynamics.", "type" : "article-journal", "volume" : "132" }, "uris" : [ "http://www.mendeley.com/documents/?uuid=f84b7fcf-f69b-4f0c-be0a-c95a45b06695" ] } ], "mendeley" : { "previouslyFormattedCitation" : "[4]" }, "properties" : { "noteIndex" : 0 }, "schema" : "https://github.com/citation-style-language/schema/raw/master/csl-citation.json" }</w:instrText>
      </w:r>
      <w:r w:rsidR="00550FE6">
        <w:fldChar w:fldCharType="separate"/>
      </w:r>
      <w:r w:rsidR="0012274B" w:rsidRPr="0012274B">
        <w:rPr>
          <w:noProof/>
        </w:rPr>
        <w:t>[4]</w:t>
      </w:r>
      <w:r w:rsidR="00550FE6">
        <w:fldChar w:fldCharType="end"/>
      </w:r>
      <w:r w:rsidR="00945802">
        <w:t xml:space="preserve"> (B) CPMG profiles for the FF domain dissolved in buffer (filled circles) or 100 g/L </w:t>
      </w:r>
      <w:r w:rsidR="00945802">
        <w:rPr>
          <w:i/>
        </w:rPr>
        <w:t>S. cerevisiae</w:t>
      </w:r>
      <w:r w:rsidR="00945802">
        <w:t xml:space="preserve"> lysate (open circles).  The data were recorded at 14.1 T, 30 </w:t>
      </w:r>
      <w:r w:rsidR="00945802">
        <w:rPr>
          <w:rFonts w:ascii="Cambria" w:hAnsi="Cambria"/>
        </w:rPr>
        <w:t>°</w:t>
      </w:r>
      <w:r w:rsidR="00945802">
        <w:t xml:space="preserve">C with a constant </w:t>
      </w:r>
      <w:r w:rsidR="002A698F">
        <w:t>time relaxation delay of 30 ms</w:t>
      </w:r>
      <w:r w:rsidR="00945802">
        <w:t xml:space="preserve"> using </w:t>
      </w:r>
      <w:r w:rsidR="00945802">
        <w:rPr>
          <w:rFonts w:eastAsia="Times New Roman"/>
        </w:rPr>
        <w:t>U-</w:t>
      </w:r>
      <w:r w:rsidR="00945802">
        <w:rPr>
          <w:rFonts w:eastAsia="Times New Roman"/>
          <w:vertAlign w:val="superscript"/>
        </w:rPr>
        <w:t>2</w:t>
      </w:r>
      <w:r w:rsidR="00945802">
        <w:rPr>
          <w:rFonts w:eastAsia="Times New Roman"/>
        </w:rPr>
        <w:t>H,</w:t>
      </w:r>
      <w:r w:rsidR="00945802">
        <w:rPr>
          <w:rFonts w:eastAsia="Times New Roman"/>
          <w:vertAlign w:val="superscript"/>
        </w:rPr>
        <w:t>15</w:t>
      </w:r>
      <w:r w:rsidR="00945802">
        <w:rPr>
          <w:rFonts w:eastAsia="Times New Roman"/>
        </w:rPr>
        <w:t>N; Ile(</w:t>
      </w:r>
      <w:r w:rsidR="00945802" w:rsidRPr="00204E0D">
        <w:rPr>
          <w:rFonts w:ascii="Symbol" w:eastAsia="Times New Roman" w:hAnsi="Symbol"/>
        </w:rPr>
        <w:t></w:t>
      </w:r>
      <w:r w:rsidR="00945802">
        <w:rPr>
          <w:rFonts w:eastAsia="Times New Roman"/>
        </w:rPr>
        <w:t>1), Leu(</w:t>
      </w:r>
      <w:r w:rsidR="00945802" w:rsidRPr="00204E0D">
        <w:rPr>
          <w:rFonts w:ascii="Symbol" w:eastAsia="Times New Roman" w:hAnsi="Symbol"/>
        </w:rPr>
        <w:t></w:t>
      </w:r>
      <w:r w:rsidR="00945802">
        <w:rPr>
          <w:rFonts w:eastAsia="Times New Roman"/>
        </w:rPr>
        <w:t>), Val(</w:t>
      </w:r>
      <w:r w:rsidR="00945802" w:rsidRPr="00204E0D">
        <w:rPr>
          <w:rFonts w:ascii="Symbol" w:eastAsia="Times New Roman" w:hAnsi="Symbol"/>
        </w:rPr>
        <w:t></w:t>
      </w:r>
      <w:r w:rsidR="00945802">
        <w:rPr>
          <w:rFonts w:eastAsia="Times New Roman"/>
        </w:rPr>
        <w:t>) and Met(</w:t>
      </w:r>
      <w:r w:rsidR="00945802" w:rsidRPr="00204E0D">
        <w:rPr>
          <w:rFonts w:ascii="Symbol" w:eastAsia="Times New Roman" w:hAnsi="Symbol"/>
        </w:rPr>
        <w:t></w:t>
      </w:r>
      <w:r w:rsidR="00945802">
        <w:rPr>
          <w:rFonts w:eastAsia="Times New Roman"/>
        </w:rPr>
        <w:t>) -</w:t>
      </w:r>
      <w:r w:rsidR="00945802">
        <w:rPr>
          <w:rFonts w:eastAsia="Times New Roman"/>
          <w:vertAlign w:val="superscript"/>
        </w:rPr>
        <w:t>13</w:t>
      </w:r>
      <w:r w:rsidR="00945802">
        <w:rPr>
          <w:rFonts w:eastAsia="Times New Roman"/>
        </w:rPr>
        <w:t>CH</w:t>
      </w:r>
      <w:r w:rsidR="00945802">
        <w:rPr>
          <w:rFonts w:eastAsia="Times New Roman"/>
        </w:rPr>
        <w:softHyphen/>
      </w:r>
      <w:r w:rsidR="00945802">
        <w:rPr>
          <w:rFonts w:eastAsia="Times New Roman"/>
          <w:vertAlign w:val="subscript"/>
        </w:rPr>
        <w:t>3</w:t>
      </w:r>
      <w:r w:rsidR="00945802">
        <w:rPr>
          <w:rFonts w:eastAsia="Times New Roman"/>
        </w:rPr>
        <w:t xml:space="preserve"> (A) or -</w:t>
      </w:r>
      <w:r w:rsidR="00945802">
        <w:rPr>
          <w:rFonts w:eastAsia="Times New Roman"/>
          <w:vertAlign w:val="superscript"/>
        </w:rPr>
        <w:t>13</w:t>
      </w:r>
      <w:r w:rsidR="00945802">
        <w:rPr>
          <w:rFonts w:eastAsia="Times New Roman"/>
        </w:rPr>
        <w:t>CHD</w:t>
      </w:r>
      <w:r w:rsidR="00945802">
        <w:rPr>
          <w:rFonts w:eastAsia="Times New Roman"/>
          <w:vertAlign w:val="subscript"/>
        </w:rPr>
        <w:t>2</w:t>
      </w:r>
      <w:r w:rsidR="00945802">
        <w:rPr>
          <w:rFonts w:eastAsia="Times New Roman"/>
        </w:rPr>
        <w:t xml:space="preserve"> (B) labeled samples of </w:t>
      </w:r>
      <w:r w:rsidR="002A698F">
        <w:rPr>
          <w:rFonts w:eastAsia="Times New Roman"/>
        </w:rPr>
        <w:t xml:space="preserve">the </w:t>
      </w:r>
      <w:r w:rsidR="00945802">
        <w:rPr>
          <w:rFonts w:eastAsia="Times New Roman"/>
        </w:rPr>
        <w:t>FF domain</w:t>
      </w:r>
      <w:r w:rsidR="00945802">
        <w:t>.  Solid li</w:t>
      </w:r>
      <w:r w:rsidR="00153983">
        <w:t>nes correspond to fits using</w:t>
      </w:r>
      <w:r w:rsidR="002A698F">
        <w:t xml:space="preserve"> a two-state</w:t>
      </w:r>
      <w:r w:rsidR="00945802">
        <w:t xml:space="preserve"> exchange model.</w:t>
      </w:r>
    </w:p>
    <w:sectPr w:rsidR="0087103C" w:rsidRPr="0087103C" w:rsidSect="0069501D">
      <w:footerReference w:type="even" r:id="rId14"/>
      <w:footerReference w:type="default" r:id="rId15"/>
      <w:pgSz w:w="12240" w:h="15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BF1266" w14:textId="77777777" w:rsidR="00655E01" w:rsidRDefault="00655E01">
      <w:r>
        <w:separator/>
      </w:r>
    </w:p>
  </w:endnote>
  <w:endnote w:type="continuationSeparator" w:id="0">
    <w:p w14:paraId="7894756B" w14:textId="77777777" w:rsidR="00655E01" w:rsidRDefault="00655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Microsoft Sans Serif">
    <w:panose1 w:val="020B0604020202020204"/>
    <w:charset w:val="00"/>
    <w:family w:val="auto"/>
    <w:pitch w:val="variable"/>
    <w:sig w:usb0="E1002AFF" w:usb1="C0000002" w:usb2="00000008" w:usb3="00000000" w:csb0="0001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A6306" w14:textId="77777777" w:rsidR="00655E01" w:rsidRDefault="00655E01" w:rsidP="004912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75C268" w14:textId="77777777" w:rsidR="00655E01" w:rsidRDefault="00655E01" w:rsidP="0069501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9D02D" w14:textId="77777777" w:rsidR="00655E01" w:rsidRDefault="00655E01" w:rsidP="004912E4">
    <w:pPr>
      <w:pStyle w:val="Footer"/>
      <w:framePr w:wrap="around" w:vAnchor="text" w:hAnchor="margin" w:xAlign="right" w:y="1"/>
      <w:rPr>
        <w:rStyle w:val="PageNumber"/>
      </w:rPr>
    </w:pPr>
    <w:r>
      <w:rPr>
        <w:rStyle w:val="PageNumber"/>
      </w:rPr>
      <w:t>S</w:t>
    </w:r>
    <w:r>
      <w:rPr>
        <w:rStyle w:val="PageNumber"/>
      </w:rPr>
      <w:fldChar w:fldCharType="begin"/>
    </w:r>
    <w:r>
      <w:rPr>
        <w:rStyle w:val="PageNumber"/>
      </w:rPr>
      <w:instrText xml:space="preserve">PAGE  </w:instrText>
    </w:r>
    <w:r>
      <w:rPr>
        <w:rStyle w:val="PageNumber"/>
      </w:rPr>
      <w:fldChar w:fldCharType="separate"/>
    </w:r>
    <w:r w:rsidR="0012274B">
      <w:rPr>
        <w:rStyle w:val="PageNumber"/>
        <w:noProof/>
      </w:rPr>
      <w:t>1</w:t>
    </w:r>
    <w:r>
      <w:rPr>
        <w:rStyle w:val="PageNumber"/>
      </w:rPr>
      <w:fldChar w:fldCharType="end"/>
    </w:r>
  </w:p>
  <w:p w14:paraId="3CE45585" w14:textId="77777777" w:rsidR="00655E01" w:rsidRDefault="00655E01" w:rsidP="0069501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F6C42D" w14:textId="77777777" w:rsidR="00655E01" w:rsidRDefault="00655E01">
      <w:r>
        <w:separator/>
      </w:r>
    </w:p>
  </w:footnote>
  <w:footnote w:type="continuationSeparator" w:id="0">
    <w:p w14:paraId="1036A1A5" w14:textId="77777777" w:rsidR="00655E01" w:rsidRDefault="00655E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5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03C"/>
    <w:rsid w:val="000007F3"/>
    <w:rsid w:val="000851C8"/>
    <w:rsid w:val="000C366D"/>
    <w:rsid w:val="000E7630"/>
    <w:rsid w:val="00116F7A"/>
    <w:rsid w:val="00122320"/>
    <w:rsid w:val="0012274B"/>
    <w:rsid w:val="00125FB0"/>
    <w:rsid w:val="00153983"/>
    <w:rsid w:val="00163F32"/>
    <w:rsid w:val="0016509C"/>
    <w:rsid w:val="00196F0D"/>
    <w:rsid w:val="001B05F1"/>
    <w:rsid w:val="001D6843"/>
    <w:rsid w:val="001E41A3"/>
    <w:rsid w:val="0021128E"/>
    <w:rsid w:val="0021693E"/>
    <w:rsid w:val="00236B62"/>
    <w:rsid w:val="002551A5"/>
    <w:rsid w:val="002658E6"/>
    <w:rsid w:val="00282248"/>
    <w:rsid w:val="00293E19"/>
    <w:rsid w:val="002A698F"/>
    <w:rsid w:val="002B0636"/>
    <w:rsid w:val="002E703C"/>
    <w:rsid w:val="002F5F00"/>
    <w:rsid w:val="0032675A"/>
    <w:rsid w:val="0037170C"/>
    <w:rsid w:val="003A5E86"/>
    <w:rsid w:val="003B722A"/>
    <w:rsid w:val="003D7497"/>
    <w:rsid w:val="004072D2"/>
    <w:rsid w:val="00413955"/>
    <w:rsid w:val="00425742"/>
    <w:rsid w:val="004574B3"/>
    <w:rsid w:val="00483140"/>
    <w:rsid w:val="004912E4"/>
    <w:rsid w:val="0049547D"/>
    <w:rsid w:val="004A05DC"/>
    <w:rsid w:val="004D3143"/>
    <w:rsid w:val="004E08FB"/>
    <w:rsid w:val="004E7ACB"/>
    <w:rsid w:val="004F1939"/>
    <w:rsid w:val="005219BC"/>
    <w:rsid w:val="00550FE6"/>
    <w:rsid w:val="00582C39"/>
    <w:rsid w:val="005A24A8"/>
    <w:rsid w:val="005B5E00"/>
    <w:rsid w:val="00637288"/>
    <w:rsid w:val="00651363"/>
    <w:rsid w:val="00653DE1"/>
    <w:rsid w:val="00655E01"/>
    <w:rsid w:val="0069501D"/>
    <w:rsid w:val="006B072A"/>
    <w:rsid w:val="006F22F5"/>
    <w:rsid w:val="00774BC4"/>
    <w:rsid w:val="007750CF"/>
    <w:rsid w:val="0079394D"/>
    <w:rsid w:val="007C71BC"/>
    <w:rsid w:val="00863978"/>
    <w:rsid w:val="008667B8"/>
    <w:rsid w:val="0087103C"/>
    <w:rsid w:val="00894563"/>
    <w:rsid w:val="008A6F00"/>
    <w:rsid w:val="008D57F6"/>
    <w:rsid w:val="008D6FB4"/>
    <w:rsid w:val="00925E3B"/>
    <w:rsid w:val="00944C82"/>
    <w:rsid w:val="00945802"/>
    <w:rsid w:val="00953E49"/>
    <w:rsid w:val="009562F9"/>
    <w:rsid w:val="009B2646"/>
    <w:rsid w:val="009D61A3"/>
    <w:rsid w:val="00A2204C"/>
    <w:rsid w:val="00A22796"/>
    <w:rsid w:val="00A438D4"/>
    <w:rsid w:val="00A809E8"/>
    <w:rsid w:val="00AF5603"/>
    <w:rsid w:val="00B26F54"/>
    <w:rsid w:val="00B42E21"/>
    <w:rsid w:val="00B661A0"/>
    <w:rsid w:val="00BA2D05"/>
    <w:rsid w:val="00BA7F8D"/>
    <w:rsid w:val="00BC0065"/>
    <w:rsid w:val="00C25521"/>
    <w:rsid w:val="00C3683B"/>
    <w:rsid w:val="00C75FA4"/>
    <w:rsid w:val="00C8230E"/>
    <w:rsid w:val="00C9288D"/>
    <w:rsid w:val="00C96B8E"/>
    <w:rsid w:val="00CA19E1"/>
    <w:rsid w:val="00CC07DC"/>
    <w:rsid w:val="00CC676D"/>
    <w:rsid w:val="00D152FE"/>
    <w:rsid w:val="00D3422B"/>
    <w:rsid w:val="00D5174A"/>
    <w:rsid w:val="00D66F43"/>
    <w:rsid w:val="00D705DA"/>
    <w:rsid w:val="00DA317E"/>
    <w:rsid w:val="00DD66B9"/>
    <w:rsid w:val="00DD6FE3"/>
    <w:rsid w:val="00E1171F"/>
    <w:rsid w:val="00E731ED"/>
    <w:rsid w:val="00EF6822"/>
    <w:rsid w:val="00F17BD4"/>
    <w:rsid w:val="00F2283B"/>
    <w:rsid w:val="00F272B3"/>
    <w:rsid w:val="00F31E40"/>
    <w:rsid w:val="00F359C5"/>
    <w:rsid w:val="00F40FBC"/>
    <w:rsid w:val="00F51A38"/>
    <w:rsid w:val="00F761C5"/>
    <w:rsid w:val="00FC7AC8"/>
    <w:rsid w:val="00FD4C7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6AE16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nnotation">
    <w:name w:val="annotation"/>
    <w:basedOn w:val="DefaultParagraphFont"/>
    <w:rsid w:val="00282248"/>
  </w:style>
  <w:style w:type="paragraph" w:styleId="BalloonText">
    <w:name w:val="Balloon Text"/>
    <w:basedOn w:val="Normal"/>
    <w:link w:val="BalloonTextChar"/>
    <w:uiPriority w:val="99"/>
    <w:semiHidden/>
    <w:unhideWhenUsed/>
    <w:rsid w:val="009458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5802"/>
    <w:rPr>
      <w:rFonts w:ascii="Lucida Grande" w:hAnsi="Lucida Grande" w:cs="Lucida Grande"/>
      <w:sz w:val="18"/>
      <w:szCs w:val="18"/>
    </w:rPr>
  </w:style>
  <w:style w:type="paragraph" w:styleId="NormalWeb">
    <w:name w:val="Normal (Web)"/>
    <w:basedOn w:val="Normal"/>
    <w:uiPriority w:val="99"/>
    <w:unhideWhenUsed/>
    <w:rsid w:val="00C96B8E"/>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69501D"/>
    <w:pPr>
      <w:tabs>
        <w:tab w:val="center" w:pos="4320"/>
        <w:tab w:val="right" w:pos="8640"/>
      </w:tabs>
    </w:pPr>
  </w:style>
  <w:style w:type="character" w:customStyle="1" w:styleId="FooterChar">
    <w:name w:val="Footer Char"/>
    <w:basedOn w:val="DefaultParagraphFont"/>
    <w:link w:val="Footer"/>
    <w:uiPriority w:val="99"/>
    <w:rsid w:val="0069501D"/>
  </w:style>
  <w:style w:type="character" w:styleId="PageNumber">
    <w:name w:val="page number"/>
    <w:basedOn w:val="DefaultParagraphFont"/>
    <w:uiPriority w:val="99"/>
    <w:semiHidden/>
    <w:unhideWhenUsed/>
    <w:rsid w:val="0069501D"/>
  </w:style>
  <w:style w:type="paragraph" w:styleId="Header">
    <w:name w:val="header"/>
    <w:basedOn w:val="Normal"/>
    <w:link w:val="HeaderChar"/>
    <w:uiPriority w:val="99"/>
    <w:semiHidden/>
    <w:unhideWhenUsed/>
    <w:rsid w:val="0069501D"/>
    <w:pPr>
      <w:tabs>
        <w:tab w:val="center" w:pos="4320"/>
        <w:tab w:val="right" w:pos="8640"/>
      </w:tabs>
    </w:pPr>
  </w:style>
  <w:style w:type="character" w:customStyle="1" w:styleId="HeaderChar">
    <w:name w:val="Header Char"/>
    <w:basedOn w:val="DefaultParagraphFont"/>
    <w:link w:val="Header"/>
    <w:uiPriority w:val="99"/>
    <w:semiHidden/>
    <w:rsid w:val="0069501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nnotation">
    <w:name w:val="annotation"/>
    <w:basedOn w:val="DefaultParagraphFont"/>
    <w:rsid w:val="00282248"/>
  </w:style>
  <w:style w:type="paragraph" w:styleId="BalloonText">
    <w:name w:val="Balloon Text"/>
    <w:basedOn w:val="Normal"/>
    <w:link w:val="BalloonTextChar"/>
    <w:uiPriority w:val="99"/>
    <w:semiHidden/>
    <w:unhideWhenUsed/>
    <w:rsid w:val="009458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5802"/>
    <w:rPr>
      <w:rFonts w:ascii="Lucida Grande" w:hAnsi="Lucida Grande" w:cs="Lucida Grande"/>
      <w:sz w:val="18"/>
      <w:szCs w:val="18"/>
    </w:rPr>
  </w:style>
  <w:style w:type="paragraph" w:styleId="NormalWeb">
    <w:name w:val="Normal (Web)"/>
    <w:basedOn w:val="Normal"/>
    <w:uiPriority w:val="99"/>
    <w:unhideWhenUsed/>
    <w:rsid w:val="00C96B8E"/>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69501D"/>
    <w:pPr>
      <w:tabs>
        <w:tab w:val="center" w:pos="4320"/>
        <w:tab w:val="right" w:pos="8640"/>
      </w:tabs>
    </w:pPr>
  </w:style>
  <w:style w:type="character" w:customStyle="1" w:styleId="FooterChar">
    <w:name w:val="Footer Char"/>
    <w:basedOn w:val="DefaultParagraphFont"/>
    <w:link w:val="Footer"/>
    <w:uiPriority w:val="99"/>
    <w:rsid w:val="0069501D"/>
  </w:style>
  <w:style w:type="character" w:styleId="PageNumber">
    <w:name w:val="page number"/>
    <w:basedOn w:val="DefaultParagraphFont"/>
    <w:uiPriority w:val="99"/>
    <w:semiHidden/>
    <w:unhideWhenUsed/>
    <w:rsid w:val="0069501D"/>
  </w:style>
  <w:style w:type="paragraph" w:styleId="Header">
    <w:name w:val="header"/>
    <w:basedOn w:val="Normal"/>
    <w:link w:val="HeaderChar"/>
    <w:uiPriority w:val="99"/>
    <w:semiHidden/>
    <w:unhideWhenUsed/>
    <w:rsid w:val="0069501D"/>
    <w:pPr>
      <w:tabs>
        <w:tab w:val="center" w:pos="4320"/>
        <w:tab w:val="right" w:pos="8640"/>
      </w:tabs>
    </w:pPr>
  </w:style>
  <w:style w:type="character" w:customStyle="1" w:styleId="HeaderChar">
    <w:name w:val="Header Char"/>
    <w:basedOn w:val="DefaultParagraphFont"/>
    <w:link w:val="Header"/>
    <w:uiPriority w:val="99"/>
    <w:semiHidden/>
    <w:rsid w:val="00695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249910">
      <w:bodyDiv w:val="1"/>
      <w:marLeft w:val="0"/>
      <w:marRight w:val="0"/>
      <w:marTop w:val="0"/>
      <w:marBottom w:val="0"/>
      <w:divBdr>
        <w:top w:val="none" w:sz="0" w:space="0" w:color="auto"/>
        <w:left w:val="none" w:sz="0" w:space="0" w:color="auto"/>
        <w:bottom w:val="none" w:sz="0" w:space="0" w:color="auto"/>
        <w:right w:val="none" w:sz="0" w:space="0" w:color="auto"/>
      </w:divBdr>
      <w:divsChild>
        <w:div w:id="492837972">
          <w:marLeft w:val="0"/>
          <w:marRight w:val="0"/>
          <w:marTop w:val="0"/>
          <w:marBottom w:val="0"/>
          <w:divBdr>
            <w:top w:val="none" w:sz="0" w:space="0" w:color="auto"/>
            <w:left w:val="none" w:sz="0" w:space="0" w:color="auto"/>
            <w:bottom w:val="none" w:sz="0" w:space="0" w:color="auto"/>
            <w:right w:val="none" w:sz="0" w:space="0" w:color="auto"/>
          </w:divBdr>
          <w:divsChild>
            <w:div w:id="1094088852">
              <w:marLeft w:val="0"/>
              <w:marRight w:val="0"/>
              <w:marTop w:val="0"/>
              <w:marBottom w:val="0"/>
              <w:divBdr>
                <w:top w:val="none" w:sz="0" w:space="0" w:color="auto"/>
                <w:left w:val="none" w:sz="0" w:space="0" w:color="auto"/>
                <w:bottom w:val="none" w:sz="0" w:space="0" w:color="auto"/>
                <w:right w:val="none" w:sz="0" w:space="0" w:color="auto"/>
              </w:divBdr>
              <w:divsChild>
                <w:div w:id="511724509">
                  <w:marLeft w:val="0"/>
                  <w:marRight w:val="0"/>
                  <w:marTop w:val="0"/>
                  <w:marBottom w:val="0"/>
                  <w:divBdr>
                    <w:top w:val="none" w:sz="0" w:space="0" w:color="auto"/>
                    <w:left w:val="none" w:sz="0" w:space="0" w:color="auto"/>
                    <w:bottom w:val="none" w:sz="0" w:space="0" w:color="auto"/>
                    <w:right w:val="none" w:sz="0" w:space="0" w:color="auto"/>
                  </w:divBdr>
                  <w:divsChild>
                    <w:div w:id="1901672794">
                      <w:marLeft w:val="0"/>
                      <w:marRight w:val="0"/>
                      <w:marTop w:val="0"/>
                      <w:marBottom w:val="0"/>
                      <w:divBdr>
                        <w:top w:val="none" w:sz="0" w:space="0" w:color="auto"/>
                        <w:left w:val="none" w:sz="0" w:space="0" w:color="auto"/>
                        <w:bottom w:val="none" w:sz="0" w:space="0" w:color="auto"/>
                        <w:right w:val="none" w:sz="0" w:space="0" w:color="auto"/>
                      </w:divBdr>
                      <w:divsChild>
                        <w:div w:id="472992045">
                          <w:marLeft w:val="0"/>
                          <w:marRight w:val="0"/>
                          <w:marTop w:val="0"/>
                          <w:marBottom w:val="0"/>
                          <w:divBdr>
                            <w:top w:val="none" w:sz="0" w:space="0" w:color="auto"/>
                            <w:left w:val="none" w:sz="0" w:space="0" w:color="auto"/>
                            <w:bottom w:val="none" w:sz="0" w:space="0" w:color="auto"/>
                            <w:right w:val="none" w:sz="0" w:space="0" w:color="auto"/>
                          </w:divBdr>
                          <w:divsChild>
                            <w:div w:id="638077182">
                              <w:marLeft w:val="0"/>
                              <w:marRight w:val="0"/>
                              <w:marTop w:val="0"/>
                              <w:marBottom w:val="0"/>
                              <w:divBdr>
                                <w:top w:val="none" w:sz="0" w:space="0" w:color="auto"/>
                                <w:left w:val="none" w:sz="0" w:space="0" w:color="auto"/>
                                <w:bottom w:val="none" w:sz="0" w:space="0" w:color="auto"/>
                                <w:right w:val="none" w:sz="0" w:space="0" w:color="auto"/>
                              </w:divBdr>
                              <w:divsChild>
                                <w:div w:id="6287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3365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Relationship Id="rId12" Type="http://schemas.openxmlformats.org/officeDocument/2006/relationships/image" Target="media/image4.tif"/><Relationship Id="rId13" Type="http://schemas.openxmlformats.org/officeDocument/2006/relationships/image" Target="media/image5.tif"/><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oleObject" Target="embeddings/Microsoft_Equation1.bin"/><Relationship Id="rId9" Type="http://schemas.openxmlformats.org/officeDocument/2006/relationships/image" Target="media/image2.emf"/><Relationship Id="rId10"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8825</Words>
  <Characters>50305</Characters>
  <Application>Microsoft Macintosh Word</Application>
  <DocSecurity>0</DocSecurity>
  <Lines>419</Lines>
  <Paragraphs>118</Paragraphs>
  <ScaleCrop>false</ScaleCrop>
  <Company/>
  <LinksUpToDate>false</LinksUpToDate>
  <CharactersWithSpaces>59012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Latham</dc:creator>
  <cp:keywords/>
  <dc:description/>
  <cp:lastModifiedBy>Michael Latham</cp:lastModifiedBy>
  <cp:revision>5</cp:revision>
  <cp:lastPrinted>2014-06-09T15:10:00Z</cp:lastPrinted>
  <dcterms:created xsi:type="dcterms:W3CDTF">2014-06-08T20:14:00Z</dcterms:created>
  <dcterms:modified xsi:type="dcterms:W3CDTF">2014-06-09T19:50:00Z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latham@pound.med.utoronto.ca@www.mendeley.com</vt:lpwstr>
  </property>
  <property fmtid="{D5CDD505-2E9C-101B-9397-08002B2CF9AE}" pid="4" name="Mendeley Citation Style_1">
    <vt:lpwstr>http://www.zotero.org/styles/journal-of-molecular-biology</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http://www.zotero.org/styles/cell</vt:lpwstr>
  </property>
  <property fmtid="{D5CDD505-2E9C-101B-9397-08002B2CF9AE}" pid="10" name="Mendeley Recent Style Name 2_1">
    <vt:lpwstr>Cell</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http://csl.mendeley.com/styles/2087381/journalofbiomolecularNMR</vt:lpwstr>
  </property>
  <property fmtid="{D5CDD505-2E9C-101B-9397-08002B2CF9AE}" pid="14" name="Mendeley Recent Style Name 4_1">
    <vt:lpwstr>Journal of Biomolecular NMR</vt:lpwstr>
  </property>
  <property fmtid="{D5CDD505-2E9C-101B-9397-08002B2CF9AE}" pid="15" name="Mendeley Recent Style Id 5_1">
    <vt:lpwstr>http://www.zotero.org/styles/journal-of-molecular-biology</vt:lpwstr>
  </property>
  <property fmtid="{D5CDD505-2E9C-101B-9397-08002B2CF9AE}" pid="16" name="Mendeley Recent Style Name 5_1">
    <vt:lpwstr>Journal of Molecular Biology</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http://www.zotero.org/styles/plos-one</vt:lpwstr>
  </property>
  <property fmtid="{D5CDD505-2E9C-101B-9397-08002B2CF9AE}" pid="20" name="Mendeley Recent Style Name 7_1">
    <vt:lpwstr>PLOS ONE</vt:lpwstr>
  </property>
  <property fmtid="{D5CDD505-2E9C-101B-9397-08002B2CF9AE}" pid="21" name="Mendeley Recent Style Id 8_1">
    <vt:lpwstr>http://www.zotero.org/styles/pnas</vt:lpwstr>
  </property>
  <property fmtid="{D5CDD505-2E9C-101B-9397-08002B2CF9AE}" pid="22" name="Mendeley Recent Style Name 8_1">
    <vt:lpwstr>Proceedings of the National Academy of Sciences of the United States of America</vt:lpwstr>
  </property>
  <property fmtid="{D5CDD505-2E9C-101B-9397-08002B2CF9AE}" pid="23" name="Mendeley Recent Style Id 9_1">
    <vt:lpwstr>http://www.zotero.org/styles/science</vt:lpwstr>
  </property>
  <property fmtid="{D5CDD505-2E9C-101B-9397-08002B2CF9AE}" pid="24" name="Mendeley Recent Style Name 9_1">
    <vt:lpwstr>Science</vt:lpwstr>
  </property>
</Properties>
</file>